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1C5D0" w14:textId="77777777" w:rsidR="00533F85" w:rsidRDefault="00900EF9" w:rsidP="003D5BC3">
      <w:pPr>
        <w:pStyle w:val="CompanyName"/>
        <w:framePr w:w="4312" w:h="1005" w:hRule="exact" w:wrap="notBeside" w:hAnchor="page" w:x="2415" w:y="1085"/>
        <w:rPr>
          <w:rFonts w:ascii="Century Schoolbook" w:hAnsi="Century Schoolbook"/>
          <w:b/>
          <w:sz w:val="40"/>
          <w:szCs w:val="40"/>
        </w:rPr>
      </w:pPr>
      <w:r w:rsidRPr="00725DD7">
        <w:rPr>
          <w:rFonts w:ascii="Century Schoolbook" w:hAnsi="Century Schoolbook"/>
          <w:b/>
          <w:sz w:val="40"/>
          <w:szCs w:val="40"/>
        </w:rPr>
        <w:t>The Astwell Benefice</w:t>
      </w:r>
    </w:p>
    <w:p w14:paraId="498E9D4B" w14:textId="77777777" w:rsidR="00533F85" w:rsidRPr="00955F02" w:rsidRDefault="00900EF9" w:rsidP="003D5BC3">
      <w:pPr>
        <w:pStyle w:val="Date"/>
        <w:framePr w:w="4312" w:h="1005" w:hRule="exact" w:hSpace="187" w:vSpace="187" w:wrap="notBeside" w:vAnchor="page" w:hAnchor="page" w:x="2415" w:y="1085"/>
        <w:jc w:val="center"/>
        <w:rPr>
          <w:i/>
          <w:sz w:val="14"/>
          <w:szCs w:val="14"/>
        </w:rPr>
      </w:pPr>
      <w:r w:rsidRPr="00955F02">
        <w:rPr>
          <w:i/>
          <w:sz w:val="14"/>
          <w:szCs w:val="14"/>
        </w:rPr>
        <w:t>Helmdon with Stuchbury and Radstone, and Syresham with Whitfield,</w:t>
      </w:r>
      <w:r w:rsidRPr="00955F02">
        <w:rPr>
          <w:i/>
          <w:sz w:val="14"/>
          <w:szCs w:val="14"/>
        </w:rPr>
        <w:cr/>
        <w:t>Lois Weedon with Weston and Plumpton and Wappenham</w:t>
      </w:r>
    </w:p>
    <w:p w14:paraId="36FC9C8F" w14:textId="66859664" w:rsidR="00900EF9" w:rsidRPr="002B60BC" w:rsidRDefault="00900EF9" w:rsidP="002B60BC">
      <w:pPr>
        <w:jc w:val="center"/>
        <w:rPr>
          <w:b/>
          <w:sz w:val="28"/>
        </w:rPr>
      </w:pPr>
      <w:r>
        <w:rPr>
          <w:b/>
          <w:noProof/>
          <w:sz w:val="28"/>
          <w:szCs w:val="20"/>
          <w:lang w:val="en-US"/>
        </w:rPr>
        <w:drawing>
          <wp:anchor distT="0" distB="0" distL="114300" distR="114300" simplePos="0" relativeHeight="251657216" behindDoc="1" locked="0" layoutInCell="1" allowOverlap="1" wp14:anchorId="35B19D50" wp14:editId="00CEBCD8">
            <wp:simplePos x="0" y="0"/>
            <wp:positionH relativeFrom="column">
              <wp:posOffset>-547370</wp:posOffset>
            </wp:positionH>
            <wp:positionV relativeFrom="paragraph">
              <wp:posOffset>-339725</wp:posOffset>
            </wp:positionV>
            <wp:extent cx="603649" cy="860425"/>
            <wp:effectExtent l="0" t="0" r="6350" b="3175"/>
            <wp:wrapNone/>
            <wp:docPr id="2" name="Picture 2" descr="tobe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beus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649"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EE04F" w14:textId="1A3AEC50" w:rsidR="00533F85" w:rsidRPr="008808D5" w:rsidRDefault="008808D5" w:rsidP="008808D5">
      <w:pPr>
        <w:pStyle w:val="Title"/>
        <w:rPr>
          <w:sz w:val="48"/>
        </w:rPr>
      </w:pPr>
      <w:r w:rsidRPr="008808D5">
        <w:rPr>
          <w:sz w:val="48"/>
        </w:rPr>
        <w:t xml:space="preserve">Finance Committee – </w:t>
      </w:r>
      <w:r w:rsidR="00533F85">
        <w:rPr>
          <w:sz w:val="48"/>
        </w:rPr>
        <w:t>Minutes</w:t>
      </w:r>
      <w:r w:rsidR="00AC35B0">
        <w:rPr>
          <w:sz w:val="48"/>
        </w:rPr>
        <w:t xml:space="preserve"> </w:t>
      </w:r>
      <w:r w:rsidR="00D5382B">
        <w:rPr>
          <w:sz w:val="48"/>
        </w:rPr>
        <w:t>11/12</w:t>
      </w:r>
      <w:r w:rsidR="00F93A57">
        <w:rPr>
          <w:sz w:val="48"/>
        </w:rPr>
        <w:t>/23</w:t>
      </w:r>
    </w:p>
    <w:p w14:paraId="5C9CC341" w14:textId="79ECA901" w:rsidR="00997EB4" w:rsidRDefault="00AC35B0" w:rsidP="00533F85">
      <w:pPr>
        <w:rPr>
          <w:rFonts w:ascii="Arial" w:hAnsi="Arial"/>
        </w:rPr>
      </w:pPr>
      <w:r w:rsidRPr="00571BCC">
        <w:rPr>
          <w:rFonts w:ascii="Arial" w:hAnsi="Arial"/>
          <w:b/>
          <w:smallCaps/>
          <w:sz w:val="28"/>
          <w:szCs w:val="28"/>
        </w:rPr>
        <w:t>Present</w:t>
      </w:r>
      <w:r w:rsidRPr="00571BCC">
        <w:rPr>
          <w:rFonts w:ascii="Arial" w:hAnsi="Arial"/>
          <w:b/>
        </w:rPr>
        <w:t>:</w:t>
      </w:r>
      <w:r w:rsidRPr="00571BCC">
        <w:rPr>
          <w:rFonts w:ascii="Arial" w:hAnsi="Arial"/>
        </w:rPr>
        <w:t xml:space="preserve"> </w:t>
      </w:r>
      <w:r w:rsidR="00167210" w:rsidRPr="00571BCC">
        <w:rPr>
          <w:rFonts w:ascii="Arial" w:hAnsi="Arial"/>
        </w:rPr>
        <w:t>Ann Netten</w:t>
      </w:r>
      <w:r w:rsidR="00D5382B">
        <w:rPr>
          <w:rFonts w:ascii="Arial" w:hAnsi="Arial"/>
        </w:rPr>
        <w:t>,</w:t>
      </w:r>
      <w:r w:rsidR="00167210" w:rsidRPr="00571BCC">
        <w:rPr>
          <w:rFonts w:ascii="Arial" w:hAnsi="Arial"/>
        </w:rPr>
        <w:t xml:space="preserve"> Philip Thompson</w:t>
      </w:r>
      <w:r w:rsidR="00D5382B">
        <w:rPr>
          <w:rFonts w:ascii="Arial" w:hAnsi="Arial"/>
        </w:rPr>
        <w:t>,</w:t>
      </w:r>
      <w:r w:rsidR="00167210" w:rsidRPr="00571BCC">
        <w:rPr>
          <w:rFonts w:ascii="Arial" w:hAnsi="Arial"/>
        </w:rPr>
        <w:t xml:space="preserve"> Alice Palmer</w:t>
      </w:r>
      <w:r w:rsidR="00520F8D">
        <w:rPr>
          <w:rFonts w:ascii="Arial" w:hAnsi="Arial"/>
        </w:rPr>
        <w:t xml:space="preserve"> </w:t>
      </w:r>
    </w:p>
    <w:p w14:paraId="642A8D77" w14:textId="77777777" w:rsidR="00DD2925" w:rsidRPr="003D5BC3" w:rsidRDefault="00DD2925" w:rsidP="00533F85">
      <w:pPr>
        <w:rPr>
          <w:rFonts w:ascii="Arial" w:hAnsi="Arial"/>
          <w:smallCaps/>
          <w:sz w:val="20"/>
          <w:szCs w:val="28"/>
        </w:rPr>
      </w:pPr>
    </w:p>
    <w:p w14:paraId="7B154EC7" w14:textId="6D2316F6" w:rsidR="00DD2925" w:rsidRPr="00571BCC" w:rsidRDefault="00E61693" w:rsidP="00DD2925">
      <w:pPr>
        <w:rPr>
          <w:rFonts w:ascii="Arial" w:hAnsi="Arial"/>
        </w:rPr>
      </w:pPr>
      <w:r w:rsidRPr="00571BCC">
        <w:rPr>
          <w:rFonts w:ascii="Arial" w:hAnsi="Arial"/>
          <w:b/>
          <w:smallCaps/>
          <w:sz w:val="28"/>
          <w:szCs w:val="28"/>
        </w:rPr>
        <w:t>A</w:t>
      </w:r>
      <w:r w:rsidR="00571BCC" w:rsidRPr="00571BCC">
        <w:rPr>
          <w:rFonts w:ascii="Arial" w:hAnsi="Arial"/>
          <w:b/>
          <w:smallCaps/>
          <w:sz w:val="28"/>
          <w:szCs w:val="28"/>
        </w:rPr>
        <w:t>pologies</w:t>
      </w:r>
      <w:r w:rsidRPr="00571BCC">
        <w:rPr>
          <w:rFonts w:ascii="Arial" w:hAnsi="Arial"/>
        </w:rPr>
        <w:t xml:space="preserve"> </w:t>
      </w:r>
      <w:r w:rsidR="00571BCC">
        <w:rPr>
          <w:rFonts w:ascii="Arial" w:hAnsi="Arial"/>
        </w:rPr>
        <w:t>:</w:t>
      </w:r>
      <w:r w:rsidR="00100DBD" w:rsidRPr="00571BCC">
        <w:rPr>
          <w:rFonts w:ascii="Arial" w:hAnsi="Arial"/>
        </w:rPr>
        <w:t xml:space="preserve"> </w:t>
      </w:r>
      <w:r w:rsidR="00DD2925">
        <w:rPr>
          <w:rFonts w:ascii="Arial" w:hAnsi="Arial"/>
        </w:rPr>
        <w:t>Bill Elkington</w:t>
      </w:r>
      <w:r w:rsidR="00D5382B">
        <w:rPr>
          <w:rFonts w:ascii="Arial" w:hAnsi="Arial"/>
        </w:rPr>
        <w:t>,</w:t>
      </w:r>
      <w:r w:rsidR="00DD2925">
        <w:rPr>
          <w:rFonts w:ascii="Arial" w:hAnsi="Arial"/>
        </w:rPr>
        <w:t xml:space="preserve"> Brenda Faragher</w:t>
      </w:r>
      <w:r w:rsidR="00D5382B">
        <w:rPr>
          <w:rFonts w:ascii="Arial" w:hAnsi="Arial"/>
        </w:rPr>
        <w:t>,</w:t>
      </w:r>
      <w:r w:rsidR="00DD2925">
        <w:rPr>
          <w:rFonts w:ascii="Arial" w:hAnsi="Arial"/>
        </w:rPr>
        <w:t xml:space="preserve"> </w:t>
      </w:r>
      <w:r w:rsidR="009E5412">
        <w:rPr>
          <w:rFonts w:ascii="Arial" w:hAnsi="Arial"/>
        </w:rPr>
        <w:t xml:space="preserve"> Sue TImmis &amp; Claire</w:t>
      </w:r>
      <w:r w:rsidR="00D5382B">
        <w:rPr>
          <w:rFonts w:ascii="Arial" w:hAnsi="Arial"/>
        </w:rPr>
        <w:t xml:space="preserve"> Bo</w:t>
      </w:r>
      <w:r w:rsidR="009E5412">
        <w:rPr>
          <w:rFonts w:ascii="Arial" w:hAnsi="Arial"/>
        </w:rPr>
        <w:t>nner</w:t>
      </w:r>
    </w:p>
    <w:p w14:paraId="7B7C21D3" w14:textId="77777777" w:rsidR="00DD2925" w:rsidRPr="003D5BC3" w:rsidRDefault="00DD2925" w:rsidP="00DD2925">
      <w:pPr>
        <w:rPr>
          <w:rFonts w:ascii="Arial" w:hAnsi="Arial"/>
          <w:smallCaps/>
          <w:sz w:val="20"/>
          <w:szCs w:val="28"/>
        </w:rPr>
      </w:pPr>
    </w:p>
    <w:p w14:paraId="0BB58894" w14:textId="3F3C1F8A" w:rsidR="00E61693" w:rsidRPr="00571BCC" w:rsidRDefault="00E61693" w:rsidP="00533F85">
      <w:pPr>
        <w:rPr>
          <w:rFonts w:ascii="Arial" w:hAnsi="Arial"/>
        </w:rPr>
      </w:pPr>
    </w:p>
    <w:p w14:paraId="6FDB5FFA" w14:textId="77777777" w:rsidR="00AC35B0" w:rsidRPr="003D5BC3" w:rsidRDefault="00AC35B0" w:rsidP="00AC35B0">
      <w:pPr>
        <w:rPr>
          <w:rFonts w:ascii="Arial" w:hAnsi="Arial"/>
          <w:sz w:val="16"/>
        </w:rPr>
      </w:pPr>
    </w:p>
    <w:p w14:paraId="4936AF12" w14:textId="35E9C759" w:rsidR="00533F85" w:rsidRPr="00571BCC" w:rsidRDefault="00FA3C08" w:rsidP="00AC35B0">
      <w:pPr>
        <w:rPr>
          <w:rFonts w:ascii="Arial" w:hAnsi="Arial"/>
          <w:b/>
          <w:smallCaps/>
          <w:sz w:val="28"/>
          <w:szCs w:val="28"/>
        </w:rPr>
      </w:pPr>
      <w:r w:rsidRPr="00571BCC">
        <w:rPr>
          <w:rFonts w:ascii="Arial" w:hAnsi="Arial"/>
          <w:b/>
          <w:smallCaps/>
          <w:sz w:val="28"/>
          <w:szCs w:val="28"/>
        </w:rPr>
        <w:t>Minutes</w:t>
      </w:r>
    </w:p>
    <w:p w14:paraId="1249CE2C" w14:textId="3E6190FD" w:rsidR="00A56D5D" w:rsidRPr="00571BCC" w:rsidRDefault="00FA3C08" w:rsidP="00AC35B0">
      <w:pPr>
        <w:rPr>
          <w:rFonts w:ascii="Arial" w:hAnsi="Arial"/>
        </w:rPr>
      </w:pPr>
      <w:r w:rsidRPr="00571BCC">
        <w:rPr>
          <w:rFonts w:ascii="Arial" w:hAnsi="Arial"/>
        </w:rPr>
        <w:t xml:space="preserve">We agreed the minutes from </w:t>
      </w:r>
      <w:r w:rsidR="00DD2925">
        <w:rPr>
          <w:rFonts w:ascii="Arial" w:hAnsi="Arial"/>
        </w:rPr>
        <w:t>19/6</w:t>
      </w:r>
      <w:r w:rsidR="00567D06">
        <w:rPr>
          <w:rFonts w:ascii="Arial" w:hAnsi="Arial"/>
        </w:rPr>
        <w:t>/23</w:t>
      </w:r>
      <w:r w:rsidR="00167210" w:rsidRPr="00571BCC">
        <w:rPr>
          <w:rFonts w:ascii="Arial" w:hAnsi="Arial"/>
        </w:rPr>
        <w:t xml:space="preserve"> </w:t>
      </w:r>
      <w:r w:rsidR="001C5479">
        <w:rPr>
          <w:rFonts w:ascii="Arial" w:hAnsi="Arial"/>
        </w:rPr>
        <w:t>were accurate with one typo correction.</w:t>
      </w:r>
    </w:p>
    <w:p w14:paraId="5A3775F1" w14:textId="77777777" w:rsidR="00491CEB" w:rsidRPr="00571BCC" w:rsidRDefault="00491CEB" w:rsidP="00AC35B0">
      <w:pPr>
        <w:rPr>
          <w:rFonts w:ascii="Arial" w:hAnsi="Arial"/>
        </w:rPr>
      </w:pPr>
    </w:p>
    <w:p w14:paraId="529753AA" w14:textId="7DDAFBD9" w:rsidR="0041143A" w:rsidRPr="00571BCC" w:rsidRDefault="00491CEB" w:rsidP="00AC35B0">
      <w:pPr>
        <w:rPr>
          <w:rFonts w:ascii="Arial" w:hAnsi="Arial"/>
          <w:b/>
          <w:smallCaps/>
          <w:sz w:val="28"/>
          <w:szCs w:val="28"/>
        </w:rPr>
      </w:pPr>
      <w:r w:rsidRPr="00571BCC">
        <w:rPr>
          <w:rFonts w:ascii="Arial" w:hAnsi="Arial"/>
          <w:b/>
          <w:smallCaps/>
          <w:sz w:val="28"/>
          <w:szCs w:val="28"/>
        </w:rPr>
        <w:t>Matters Arising</w:t>
      </w:r>
    </w:p>
    <w:p w14:paraId="154E15D0" w14:textId="7AA9128E" w:rsidR="00567D06" w:rsidRPr="001C5479" w:rsidRDefault="00DD2925" w:rsidP="001C5479">
      <w:pPr>
        <w:pStyle w:val="ListParagraph"/>
        <w:numPr>
          <w:ilvl w:val="0"/>
          <w:numId w:val="7"/>
        </w:numPr>
        <w:rPr>
          <w:rFonts w:ascii="Arial" w:hAnsi="Arial"/>
        </w:rPr>
      </w:pPr>
      <w:r w:rsidRPr="001C5479">
        <w:rPr>
          <w:rFonts w:ascii="Arial" w:hAnsi="Arial"/>
        </w:rPr>
        <w:t>Radstone’s old account has finally been closed and the funds are now held in Helmdon’s account.</w:t>
      </w:r>
    </w:p>
    <w:p w14:paraId="2EC69ADA" w14:textId="1B26C111" w:rsidR="00EF03D9" w:rsidRDefault="00DD2925" w:rsidP="001C5479">
      <w:pPr>
        <w:pStyle w:val="ListParagraph"/>
        <w:numPr>
          <w:ilvl w:val="0"/>
          <w:numId w:val="7"/>
        </w:numPr>
        <w:rPr>
          <w:rFonts w:ascii="Arial" w:hAnsi="Arial"/>
        </w:rPr>
      </w:pPr>
      <w:r w:rsidRPr="001C5479">
        <w:rPr>
          <w:rFonts w:ascii="Arial" w:hAnsi="Arial"/>
        </w:rPr>
        <w:t xml:space="preserve">Bill had circulated the details of the group electricity scheme. </w:t>
      </w:r>
    </w:p>
    <w:p w14:paraId="6F980F1B" w14:textId="0E1480BF" w:rsidR="00583129" w:rsidRPr="001C5479" w:rsidRDefault="00583129" w:rsidP="001C5479">
      <w:pPr>
        <w:pStyle w:val="ListParagraph"/>
        <w:numPr>
          <w:ilvl w:val="0"/>
          <w:numId w:val="7"/>
        </w:numPr>
        <w:rPr>
          <w:rFonts w:ascii="Arial" w:hAnsi="Arial"/>
        </w:rPr>
      </w:pPr>
      <w:r>
        <w:rPr>
          <w:rFonts w:ascii="Arial" w:hAnsi="Arial"/>
        </w:rPr>
        <w:t>Some work has taken place in the Rectory garden.</w:t>
      </w:r>
    </w:p>
    <w:p w14:paraId="6996AD4E" w14:textId="77777777" w:rsidR="009E5412" w:rsidRPr="001C5479" w:rsidRDefault="009E5412" w:rsidP="009E5412">
      <w:pPr>
        <w:pStyle w:val="ListParagraph"/>
        <w:numPr>
          <w:ilvl w:val="0"/>
          <w:numId w:val="7"/>
        </w:numPr>
        <w:rPr>
          <w:rFonts w:ascii="Arial" w:hAnsi="Arial"/>
        </w:rPr>
      </w:pPr>
      <w:r w:rsidRPr="001C5479">
        <w:rPr>
          <w:rFonts w:ascii="Arial" w:hAnsi="Arial"/>
        </w:rPr>
        <w:t xml:space="preserve">Syresham and Helmdon have both purchased SelectaDNA smart water kits.  We were not sure if </w:t>
      </w:r>
      <w:r>
        <w:rPr>
          <w:rFonts w:ascii="Arial" w:hAnsi="Arial"/>
        </w:rPr>
        <w:t>Whitfield</w:t>
      </w:r>
      <w:r w:rsidRPr="001C5479">
        <w:rPr>
          <w:rFonts w:ascii="Arial" w:hAnsi="Arial"/>
        </w:rPr>
        <w:t xml:space="preserve"> had theirs in place.</w:t>
      </w:r>
    </w:p>
    <w:p w14:paraId="54838B09" w14:textId="77777777" w:rsidR="009E5412" w:rsidRDefault="009E5412" w:rsidP="009E5412">
      <w:pPr>
        <w:rPr>
          <w:rFonts w:ascii="Arial" w:hAnsi="Arial"/>
        </w:rPr>
      </w:pPr>
    </w:p>
    <w:p w14:paraId="5EB08BDF" w14:textId="3B1CB20A" w:rsidR="00567D06" w:rsidRDefault="009E5412" w:rsidP="009E5412">
      <w:pPr>
        <w:jc w:val="right"/>
        <w:rPr>
          <w:rFonts w:ascii="Arial" w:hAnsi="Arial"/>
        </w:rPr>
      </w:pPr>
      <w:r>
        <w:rPr>
          <w:rFonts w:ascii="Arial" w:hAnsi="Arial"/>
        </w:rPr>
        <w:t>Action CB</w:t>
      </w:r>
    </w:p>
    <w:p w14:paraId="4201E946" w14:textId="58DF46FF" w:rsidR="00567D06" w:rsidRPr="001C5479" w:rsidRDefault="00DD2925" w:rsidP="001C5479">
      <w:pPr>
        <w:pStyle w:val="ListParagraph"/>
        <w:numPr>
          <w:ilvl w:val="0"/>
          <w:numId w:val="7"/>
        </w:numPr>
        <w:rPr>
          <w:rFonts w:ascii="Arial" w:hAnsi="Arial"/>
        </w:rPr>
      </w:pPr>
      <w:r w:rsidRPr="001C5479">
        <w:rPr>
          <w:rFonts w:ascii="Arial" w:hAnsi="Arial"/>
        </w:rPr>
        <w:t>AP had passed Rev. Diane’s United Astwell Benefice scheme document to Trinitas who replied that this was a proposal not the actual Scheme and sent a Scheme proforma that should have been completed as a ‘Partial Scheme’.  They added that the scheme as it stood was not likely to be eligible for join insurance as individual PCCs look after their own buildings under the plan.</w:t>
      </w:r>
    </w:p>
    <w:p w14:paraId="45CCB241" w14:textId="77777777" w:rsidR="00DD2925" w:rsidRDefault="00DD2925" w:rsidP="00567D06">
      <w:pPr>
        <w:rPr>
          <w:rFonts w:ascii="Arial" w:hAnsi="Arial"/>
        </w:rPr>
      </w:pPr>
    </w:p>
    <w:p w14:paraId="08B3873F" w14:textId="28C9AF64" w:rsidR="00DD2925" w:rsidRDefault="00DD2925" w:rsidP="001C5479">
      <w:pPr>
        <w:ind w:left="709"/>
        <w:rPr>
          <w:rFonts w:ascii="Arial" w:hAnsi="Arial"/>
        </w:rPr>
      </w:pPr>
      <w:r>
        <w:rPr>
          <w:rFonts w:ascii="Arial" w:hAnsi="Arial"/>
        </w:rPr>
        <w:t>AP passed this message to the Archdeacon, who in turn passed it on to Andrew Roberts at the Diocese – here is his reply:</w:t>
      </w:r>
    </w:p>
    <w:p w14:paraId="09DE1B4B" w14:textId="77777777" w:rsidR="00DD2925" w:rsidRDefault="00DD2925" w:rsidP="00567D06">
      <w:pPr>
        <w:rPr>
          <w:rFonts w:ascii="Arial" w:hAnsi="Arial"/>
        </w:rPr>
      </w:pPr>
    </w:p>
    <w:p w14:paraId="69FB8678" w14:textId="77777777" w:rsidR="001C5479" w:rsidRPr="001C5479" w:rsidRDefault="001C5479" w:rsidP="001C5479">
      <w:pPr>
        <w:widowControl w:val="0"/>
        <w:autoSpaceDE w:val="0"/>
        <w:autoSpaceDN w:val="0"/>
        <w:adjustRightInd w:val="0"/>
        <w:rPr>
          <w:sz w:val="28"/>
          <w:szCs w:val="32"/>
          <w:lang w:val="en-US"/>
        </w:rPr>
      </w:pPr>
      <w:r w:rsidRPr="001C5479">
        <w:rPr>
          <w:rFonts w:ascii="Calibri" w:hAnsi="Calibri" w:cs="Calibri"/>
          <w:color w:val="18376A"/>
          <w:sz w:val="26"/>
          <w:szCs w:val="30"/>
          <w:lang w:val="en-US"/>
        </w:rPr>
        <w:t>Dear All</w:t>
      </w:r>
    </w:p>
    <w:p w14:paraId="71629DCE" w14:textId="77777777" w:rsidR="001C5479" w:rsidRPr="001C5479" w:rsidRDefault="001C5479" w:rsidP="001C5479">
      <w:pPr>
        <w:widowControl w:val="0"/>
        <w:autoSpaceDE w:val="0"/>
        <w:autoSpaceDN w:val="0"/>
        <w:adjustRightInd w:val="0"/>
        <w:rPr>
          <w:sz w:val="2"/>
          <w:szCs w:val="32"/>
          <w:lang w:val="en-US"/>
        </w:rPr>
      </w:pPr>
      <w:r w:rsidRPr="001C5479">
        <w:rPr>
          <w:rFonts w:ascii="Calibri" w:hAnsi="Calibri" w:cs="Calibri"/>
          <w:color w:val="18376A"/>
          <w:sz w:val="12"/>
          <w:szCs w:val="30"/>
          <w:lang w:val="en-US"/>
        </w:rPr>
        <w:t> </w:t>
      </w:r>
    </w:p>
    <w:p w14:paraId="6F4CDD79" w14:textId="77777777" w:rsidR="001C5479" w:rsidRPr="001C5479" w:rsidRDefault="001C5479" w:rsidP="001C5479">
      <w:pPr>
        <w:widowControl w:val="0"/>
        <w:autoSpaceDE w:val="0"/>
        <w:autoSpaceDN w:val="0"/>
        <w:adjustRightInd w:val="0"/>
        <w:rPr>
          <w:sz w:val="28"/>
          <w:szCs w:val="32"/>
          <w:lang w:val="en-US"/>
        </w:rPr>
      </w:pPr>
      <w:r w:rsidRPr="001C5479">
        <w:rPr>
          <w:rFonts w:ascii="Calibri" w:hAnsi="Calibri" w:cs="Calibri"/>
          <w:color w:val="18376A"/>
          <w:sz w:val="26"/>
          <w:szCs w:val="30"/>
          <w:lang w:val="en-US"/>
        </w:rPr>
        <w:t>Hmmmm</w:t>
      </w:r>
    </w:p>
    <w:p w14:paraId="72D94BB0" w14:textId="77777777" w:rsidR="001C5479" w:rsidRPr="001C5479" w:rsidRDefault="001C5479" w:rsidP="001C5479">
      <w:pPr>
        <w:widowControl w:val="0"/>
        <w:autoSpaceDE w:val="0"/>
        <w:autoSpaceDN w:val="0"/>
        <w:adjustRightInd w:val="0"/>
        <w:rPr>
          <w:sz w:val="2"/>
          <w:szCs w:val="32"/>
          <w:lang w:val="en-US"/>
        </w:rPr>
      </w:pPr>
      <w:r w:rsidRPr="001C5479">
        <w:rPr>
          <w:rFonts w:ascii="Calibri" w:hAnsi="Calibri" w:cs="Calibri"/>
          <w:color w:val="18376A"/>
          <w:sz w:val="8"/>
          <w:szCs w:val="30"/>
          <w:lang w:val="en-US"/>
        </w:rPr>
        <w:t> </w:t>
      </w:r>
    </w:p>
    <w:p w14:paraId="15398BF6" w14:textId="77777777" w:rsidR="001C5479" w:rsidRPr="001C5479" w:rsidRDefault="001C5479" w:rsidP="001C5479">
      <w:pPr>
        <w:widowControl w:val="0"/>
        <w:autoSpaceDE w:val="0"/>
        <w:autoSpaceDN w:val="0"/>
        <w:adjustRightInd w:val="0"/>
        <w:rPr>
          <w:sz w:val="28"/>
          <w:szCs w:val="32"/>
          <w:lang w:val="en-US"/>
        </w:rPr>
      </w:pPr>
      <w:r w:rsidRPr="001C5479">
        <w:rPr>
          <w:rFonts w:ascii="Calibri" w:hAnsi="Calibri" w:cs="Calibri"/>
          <w:color w:val="18376A"/>
          <w:sz w:val="26"/>
          <w:szCs w:val="30"/>
          <w:lang w:val="en-US"/>
        </w:rPr>
        <w:t>The Bishop’s Council approved the attached scheme in October 2022</w:t>
      </w:r>
    </w:p>
    <w:p w14:paraId="5BBB1AEE" w14:textId="50729A4F" w:rsidR="001C5479" w:rsidRPr="001C5479" w:rsidRDefault="001C5479" w:rsidP="001C5479">
      <w:pPr>
        <w:widowControl w:val="0"/>
        <w:autoSpaceDE w:val="0"/>
        <w:autoSpaceDN w:val="0"/>
        <w:adjustRightInd w:val="0"/>
        <w:rPr>
          <w:sz w:val="28"/>
          <w:szCs w:val="32"/>
          <w:lang w:val="en-US"/>
        </w:rPr>
      </w:pPr>
      <w:r w:rsidRPr="001C5479">
        <w:rPr>
          <w:rFonts w:ascii="Calibri" w:hAnsi="Calibri" w:cs="Calibri"/>
          <w:color w:val="18376A"/>
          <w:sz w:val="26"/>
          <w:szCs w:val="30"/>
          <w:lang w:val="en-US"/>
        </w:rPr>
        <w:t>It is a partial scheme as it</w:t>
      </w:r>
      <w:r>
        <w:rPr>
          <w:rFonts w:ascii="Calibri" w:hAnsi="Calibri" w:cs="Calibri"/>
          <w:color w:val="18376A"/>
          <w:sz w:val="26"/>
          <w:szCs w:val="30"/>
          <w:lang w:val="en-US"/>
        </w:rPr>
        <w:t>’</w:t>
      </w:r>
      <w:r w:rsidRPr="001C5479">
        <w:rPr>
          <w:rFonts w:ascii="Calibri" w:hAnsi="Calibri" w:cs="Calibri"/>
          <w:color w:val="18376A"/>
          <w:sz w:val="26"/>
          <w:szCs w:val="30"/>
          <w:lang w:val="en-US"/>
        </w:rPr>
        <w:t>s not a full transfer of the functions of the individual PCCs</w:t>
      </w:r>
    </w:p>
    <w:p w14:paraId="34051000" w14:textId="77777777" w:rsidR="001C5479" w:rsidRPr="001C5479" w:rsidRDefault="001C5479" w:rsidP="001C5479">
      <w:pPr>
        <w:widowControl w:val="0"/>
        <w:autoSpaceDE w:val="0"/>
        <w:autoSpaceDN w:val="0"/>
        <w:adjustRightInd w:val="0"/>
        <w:rPr>
          <w:sz w:val="2"/>
          <w:szCs w:val="32"/>
          <w:lang w:val="en-US"/>
        </w:rPr>
      </w:pPr>
      <w:r w:rsidRPr="001C5479">
        <w:rPr>
          <w:rFonts w:ascii="Calibri" w:hAnsi="Calibri" w:cs="Calibri"/>
          <w:color w:val="18376A"/>
          <w:sz w:val="8"/>
          <w:szCs w:val="30"/>
          <w:lang w:val="en-US"/>
        </w:rPr>
        <w:t> </w:t>
      </w:r>
    </w:p>
    <w:p w14:paraId="4143AD49" w14:textId="77777777" w:rsidR="001C5479" w:rsidRPr="001C5479" w:rsidRDefault="001C5479" w:rsidP="001C5479">
      <w:pPr>
        <w:widowControl w:val="0"/>
        <w:autoSpaceDE w:val="0"/>
        <w:autoSpaceDN w:val="0"/>
        <w:adjustRightInd w:val="0"/>
        <w:rPr>
          <w:sz w:val="28"/>
          <w:szCs w:val="32"/>
          <w:lang w:val="en-US"/>
        </w:rPr>
      </w:pPr>
      <w:r w:rsidRPr="001C5479">
        <w:rPr>
          <w:rFonts w:ascii="Calibri" w:hAnsi="Calibri" w:cs="Calibri"/>
          <w:color w:val="18376A"/>
          <w:sz w:val="26"/>
          <w:szCs w:val="30"/>
          <w:lang w:val="en-US"/>
        </w:rPr>
        <w:t>It may be helpful (for the future) to recast the attached in the form of the Partial template</w:t>
      </w:r>
    </w:p>
    <w:p w14:paraId="5C5BA8D4" w14:textId="77777777" w:rsidR="001C5479" w:rsidRPr="001C5479" w:rsidRDefault="001C5479" w:rsidP="001C5479">
      <w:pPr>
        <w:widowControl w:val="0"/>
        <w:autoSpaceDE w:val="0"/>
        <w:autoSpaceDN w:val="0"/>
        <w:adjustRightInd w:val="0"/>
        <w:rPr>
          <w:sz w:val="10"/>
          <w:szCs w:val="32"/>
          <w:lang w:val="en-US"/>
        </w:rPr>
      </w:pPr>
      <w:r w:rsidRPr="001C5479">
        <w:rPr>
          <w:rFonts w:ascii="Calibri" w:hAnsi="Calibri" w:cs="Calibri"/>
          <w:color w:val="18376A"/>
          <w:sz w:val="8"/>
          <w:szCs w:val="30"/>
          <w:lang w:val="en-US"/>
        </w:rPr>
        <w:t> </w:t>
      </w:r>
    </w:p>
    <w:p w14:paraId="4368A8A7" w14:textId="77777777" w:rsidR="001C5479" w:rsidRPr="001C5479" w:rsidRDefault="001C5479" w:rsidP="001C5479">
      <w:pPr>
        <w:widowControl w:val="0"/>
        <w:autoSpaceDE w:val="0"/>
        <w:autoSpaceDN w:val="0"/>
        <w:adjustRightInd w:val="0"/>
        <w:rPr>
          <w:sz w:val="28"/>
          <w:szCs w:val="32"/>
          <w:lang w:val="en-US"/>
        </w:rPr>
      </w:pPr>
      <w:r w:rsidRPr="001C5479">
        <w:rPr>
          <w:rFonts w:ascii="Calibri" w:hAnsi="Calibri" w:cs="Calibri"/>
          <w:color w:val="18376A"/>
          <w:sz w:val="26"/>
          <w:szCs w:val="30"/>
          <w:lang w:val="en-US"/>
        </w:rPr>
        <w:t>I’m not sure what insurance you need for the joint council as it is purely strategic and does not possess anything?</w:t>
      </w:r>
    </w:p>
    <w:p w14:paraId="211AEE21" w14:textId="77777777" w:rsidR="001C5479" w:rsidRPr="001C5479" w:rsidRDefault="001C5479" w:rsidP="001C5479">
      <w:pPr>
        <w:widowControl w:val="0"/>
        <w:autoSpaceDE w:val="0"/>
        <w:autoSpaceDN w:val="0"/>
        <w:adjustRightInd w:val="0"/>
        <w:rPr>
          <w:sz w:val="28"/>
          <w:szCs w:val="32"/>
          <w:lang w:val="en-US"/>
        </w:rPr>
      </w:pPr>
      <w:r w:rsidRPr="001C5479">
        <w:rPr>
          <w:rFonts w:ascii="Calibri" w:hAnsi="Calibri" w:cs="Calibri"/>
          <w:color w:val="18376A"/>
          <w:sz w:val="26"/>
          <w:szCs w:val="30"/>
          <w:lang w:val="en-US"/>
        </w:rPr>
        <w:t> </w:t>
      </w:r>
    </w:p>
    <w:p w14:paraId="5C5A4A12" w14:textId="0FFBE1C5" w:rsidR="00DD2925" w:rsidRPr="001C5479" w:rsidRDefault="001C5479" w:rsidP="001C5479">
      <w:pPr>
        <w:widowControl w:val="0"/>
        <w:autoSpaceDE w:val="0"/>
        <w:autoSpaceDN w:val="0"/>
        <w:adjustRightInd w:val="0"/>
        <w:rPr>
          <w:sz w:val="28"/>
          <w:szCs w:val="32"/>
          <w:lang w:val="en-US"/>
        </w:rPr>
      </w:pPr>
      <w:r w:rsidRPr="001C5479">
        <w:rPr>
          <w:rFonts w:ascii="Calibri" w:hAnsi="Calibri" w:cs="Calibri"/>
          <w:color w:val="18376A"/>
          <w:sz w:val="26"/>
          <w:szCs w:val="30"/>
          <w:lang w:val="en-US"/>
        </w:rPr>
        <w:t>With all good wishes</w:t>
      </w:r>
      <w:r>
        <w:rPr>
          <w:sz w:val="28"/>
          <w:szCs w:val="32"/>
          <w:lang w:val="en-US"/>
        </w:rPr>
        <w:t xml:space="preserve"> </w:t>
      </w:r>
      <w:r w:rsidRPr="001C5479">
        <w:rPr>
          <w:rFonts w:ascii="Calibri" w:hAnsi="Calibri" w:cs="Calibri"/>
          <w:color w:val="18376A"/>
          <w:sz w:val="26"/>
          <w:szCs w:val="30"/>
          <w:lang w:val="en-US"/>
        </w:rPr>
        <w:t>Andrew</w:t>
      </w:r>
    </w:p>
    <w:p w14:paraId="66CBA1D0" w14:textId="77777777" w:rsidR="001C5479" w:rsidRDefault="001C5479" w:rsidP="001C5479">
      <w:pPr>
        <w:rPr>
          <w:rFonts w:ascii="Arial" w:hAnsi="Arial"/>
        </w:rPr>
      </w:pPr>
    </w:p>
    <w:p w14:paraId="75460EA3" w14:textId="0AA534E9" w:rsidR="00881495" w:rsidRDefault="001C5479" w:rsidP="001C5479">
      <w:pPr>
        <w:rPr>
          <w:rFonts w:ascii="Arial" w:hAnsi="Arial"/>
        </w:rPr>
      </w:pPr>
      <w:r>
        <w:rPr>
          <w:rFonts w:ascii="Arial" w:hAnsi="Arial"/>
        </w:rPr>
        <w:t>We concluded that, in the light of these comments from both Trinitas and the Diocese, this was a fruitless avenue to pursue.</w:t>
      </w:r>
    </w:p>
    <w:p w14:paraId="1EBBD5AC" w14:textId="77777777" w:rsidR="001C5479" w:rsidRDefault="001C5479" w:rsidP="001C5479">
      <w:pPr>
        <w:rPr>
          <w:rFonts w:ascii="Arial" w:hAnsi="Arial"/>
        </w:rPr>
      </w:pPr>
    </w:p>
    <w:p w14:paraId="5EB65E57" w14:textId="77777777" w:rsidR="00567D06" w:rsidRPr="00571BCC" w:rsidRDefault="00567D06" w:rsidP="00567D06">
      <w:pPr>
        <w:rPr>
          <w:rFonts w:ascii="Arial" w:hAnsi="Arial"/>
        </w:rPr>
      </w:pPr>
    </w:p>
    <w:p w14:paraId="43576491" w14:textId="77777777" w:rsidR="002C7F79" w:rsidRDefault="002C7F79" w:rsidP="00A657C0">
      <w:pPr>
        <w:rPr>
          <w:rFonts w:ascii="Arial" w:hAnsi="Arial"/>
          <w:b/>
          <w:smallCaps/>
          <w:sz w:val="28"/>
          <w:szCs w:val="28"/>
        </w:rPr>
      </w:pPr>
    </w:p>
    <w:p w14:paraId="2EA24063" w14:textId="2211EEE7" w:rsidR="00E61693" w:rsidRPr="00A56F07" w:rsidRDefault="00571BCC" w:rsidP="00A657C0">
      <w:pPr>
        <w:rPr>
          <w:rFonts w:ascii="Arial" w:hAnsi="Arial"/>
          <w:b/>
          <w:smallCaps/>
          <w:sz w:val="28"/>
          <w:szCs w:val="28"/>
        </w:rPr>
      </w:pPr>
      <w:r w:rsidRPr="00A56F07">
        <w:rPr>
          <w:rFonts w:ascii="Arial" w:hAnsi="Arial"/>
          <w:b/>
          <w:smallCaps/>
          <w:sz w:val="28"/>
          <w:szCs w:val="28"/>
        </w:rPr>
        <w:t xml:space="preserve">Parish &amp; Benefice </w:t>
      </w:r>
      <w:r w:rsidR="00520F8D">
        <w:rPr>
          <w:rFonts w:ascii="Arial" w:hAnsi="Arial"/>
          <w:b/>
          <w:smallCaps/>
          <w:sz w:val="28"/>
          <w:szCs w:val="28"/>
        </w:rPr>
        <w:t>Accounts</w:t>
      </w:r>
      <w:r w:rsidR="001C5479">
        <w:rPr>
          <w:rFonts w:ascii="Arial" w:hAnsi="Arial"/>
          <w:b/>
          <w:smallCaps/>
          <w:sz w:val="28"/>
          <w:szCs w:val="28"/>
        </w:rPr>
        <w:t xml:space="preserve"> Review </w:t>
      </w:r>
    </w:p>
    <w:p w14:paraId="34ADBC78" w14:textId="77777777" w:rsidR="00E61693" w:rsidRPr="003D5BC3" w:rsidRDefault="00E61693" w:rsidP="00A657C0">
      <w:pPr>
        <w:rPr>
          <w:rFonts w:ascii="Arial" w:hAnsi="Arial"/>
          <w:smallCaps/>
          <w:sz w:val="16"/>
        </w:rPr>
      </w:pPr>
    </w:p>
    <w:p w14:paraId="6B063CD5" w14:textId="14F327A0" w:rsidR="00520F8D" w:rsidRPr="00881495" w:rsidRDefault="001C5479" w:rsidP="00520F8D">
      <w:pPr>
        <w:rPr>
          <w:rFonts w:ascii="Arial" w:hAnsi="Arial"/>
        </w:rPr>
      </w:pPr>
      <w:r>
        <w:rPr>
          <w:rFonts w:ascii="Arial" w:hAnsi="Arial"/>
        </w:rPr>
        <w:t>HELMDON</w:t>
      </w:r>
    </w:p>
    <w:p w14:paraId="5D9D7C16" w14:textId="0CAF2DA8" w:rsidR="001607E7" w:rsidRDefault="001C5479" w:rsidP="009038B6">
      <w:pPr>
        <w:rPr>
          <w:rFonts w:ascii="Arial" w:hAnsi="Arial"/>
        </w:rPr>
      </w:pPr>
      <w:r>
        <w:rPr>
          <w:rFonts w:ascii="Arial" w:hAnsi="Arial"/>
        </w:rPr>
        <w:t xml:space="preserve">After some very successful fundraising Helmdon were able to top up their Parish Share by £2500.  They are in a good position at the moment although regular giving is slightly down and there is likely to come a need at some point in the next year to remind folk of the need to support the Church’s work and how useful regular payments are. The Friends of the Church have paid for an upgrade to the sound system, this is currently a loan but may become a gift depending on how much help is needed with Quinquennial works.  It looks as though the Quinquennial works will be manageable. </w:t>
      </w:r>
      <w:r w:rsidR="00952CE3">
        <w:rPr>
          <w:rFonts w:ascii="Arial" w:hAnsi="Arial"/>
        </w:rPr>
        <w:t>Helmdon is also holding £344 for the diocese from the Institution of Rev. Hugh.  AN will pass this to AP to be sent to the diocese.  AP will ask if it could be counted as part of our share. During the meeting they received a £314 grant from the diocese towards their inspection costs.</w:t>
      </w:r>
    </w:p>
    <w:p w14:paraId="379A7B61" w14:textId="3C7C0BDC" w:rsidR="00952CE3" w:rsidRDefault="00952CE3" w:rsidP="00952CE3">
      <w:pPr>
        <w:jc w:val="right"/>
        <w:rPr>
          <w:rFonts w:ascii="Arial" w:hAnsi="Arial"/>
        </w:rPr>
      </w:pPr>
      <w:r>
        <w:rPr>
          <w:rFonts w:ascii="Arial" w:hAnsi="Arial"/>
        </w:rPr>
        <w:t>Action AP/AN</w:t>
      </w:r>
    </w:p>
    <w:p w14:paraId="6A59EE86" w14:textId="77777777" w:rsidR="00881495" w:rsidRDefault="00881495" w:rsidP="009038B6">
      <w:pPr>
        <w:rPr>
          <w:rFonts w:ascii="Arial" w:hAnsi="Arial"/>
        </w:rPr>
      </w:pPr>
    </w:p>
    <w:p w14:paraId="49BFE18F" w14:textId="3A7C8411" w:rsidR="00DF0B59" w:rsidRDefault="00952CE3" w:rsidP="009038B6">
      <w:pPr>
        <w:rPr>
          <w:rFonts w:ascii="Arial" w:hAnsi="Arial"/>
        </w:rPr>
      </w:pPr>
      <w:r>
        <w:rPr>
          <w:rFonts w:ascii="Arial" w:hAnsi="Arial"/>
        </w:rPr>
        <w:t>LOIS WEEDON</w:t>
      </w:r>
    </w:p>
    <w:p w14:paraId="73450923" w14:textId="447219D5" w:rsidR="00952CE3" w:rsidRDefault="00952CE3" w:rsidP="009038B6">
      <w:pPr>
        <w:rPr>
          <w:rFonts w:ascii="Arial" w:hAnsi="Arial"/>
        </w:rPr>
      </w:pPr>
      <w:r>
        <w:rPr>
          <w:rFonts w:ascii="Arial" w:hAnsi="Arial"/>
        </w:rPr>
        <w:t xml:space="preserve">The Coffee Morning fundraising in Lois Weedon is still working well and fundraising income has increased.  However other income is significantly lower.  Two regular donors have elected to transfer their payments to the Fabric account.  Lois usually relies heavily on money from collections and this is also down due to less services.  </w:t>
      </w:r>
    </w:p>
    <w:p w14:paraId="6855E155" w14:textId="5DE2C473" w:rsidR="00952CE3" w:rsidRDefault="00952CE3" w:rsidP="009038B6">
      <w:pPr>
        <w:rPr>
          <w:rFonts w:ascii="Arial" w:hAnsi="Arial"/>
        </w:rPr>
      </w:pPr>
      <w:r>
        <w:rPr>
          <w:rFonts w:ascii="Arial" w:hAnsi="Arial"/>
        </w:rPr>
        <w:t>Income from Regular donations, collections and donations is down b</w:t>
      </w:r>
      <w:r w:rsidR="004027CF">
        <w:rPr>
          <w:rFonts w:ascii="Arial" w:hAnsi="Arial"/>
        </w:rPr>
        <w:t xml:space="preserve">y £1766 though </w:t>
      </w:r>
      <w:r>
        <w:rPr>
          <w:rFonts w:ascii="Arial" w:hAnsi="Arial"/>
        </w:rPr>
        <w:t xml:space="preserve">there are still Christmas </w:t>
      </w:r>
      <w:r w:rsidR="004027CF">
        <w:rPr>
          <w:rFonts w:ascii="Arial" w:hAnsi="Arial"/>
        </w:rPr>
        <w:t>service to come which may help somewhat.  There was also a Sundry payment of £754 last year and the utilities grant from the diocese of £755.</w:t>
      </w:r>
    </w:p>
    <w:p w14:paraId="7D008B11" w14:textId="77777777" w:rsidR="002622E6" w:rsidRDefault="002622E6" w:rsidP="009038B6">
      <w:pPr>
        <w:rPr>
          <w:rFonts w:ascii="Arial" w:hAnsi="Arial"/>
        </w:rPr>
      </w:pPr>
    </w:p>
    <w:p w14:paraId="3A91C843" w14:textId="6D7D21A6" w:rsidR="002622E6" w:rsidRDefault="004027CF" w:rsidP="004027CF">
      <w:pPr>
        <w:rPr>
          <w:rFonts w:ascii="Arial" w:hAnsi="Arial"/>
        </w:rPr>
      </w:pPr>
      <w:r>
        <w:rPr>
          <w:rFonts w:ascii="Arial" w:hAnsi="Arial"/>
        </w:rPr>
        <w:t>Fabric costs have increased over the year due to chancel repairs and electrical issues.</w:t>
      </w:r>
    </w:p>
    <w:p w14:paraId="7284C76A" w14:textId="77777777" w:rsidR="004027CF" w:rsidRDefault="004027CF" w:rsidP="009038B6">
      <w:pPr>
        <w:rPr>
          <w:rFonts w:ascii="Helvetica" w:hAnsi="Helvetica" w:cs="Helvetica"/>
          <w:lang w:val="en-US"/>
        </w:rPr>
      </w:pPr>
    </w:p>
    <w:p w14:paraId="204DD587" w14:textId="38F38D69" w:rsidR="004027CF" w:rsidRDefault="004027CF" w:rsidP="009038B6">
      <w:pPr>
        <w:rPr>
          <w:rFonts w:ascii="Helvetica" w:hAnsi="Helvetica" w:cs="Helvetica"/>
          <w:lang w:val="en-US"/>
        </w:rPr>
      </w:pPr>
      <w:r>
        <w:rPr>
          <w:rFonts w:ascii="Helvetica" w:hAnsi="Helvetica" w:cs="Helvetica"/>
          <w:lang w:val="en-US"/>
        </w:rPr>
        <w:t>“At the current rate, their Regular Giving and Collections just about covers normal day to day expenses, including Insurance and Utilities. There is not much left over and they continue to rely on fund raising events to support Parish Share and other costs.”</w:t>
      </w:r>
    </w:p>
    <w:p w14:paraId="1A6634DC" w14:textId="77777777" w:rsidR="004027CF" w:rsidRDefault="004027CF" w:rsidP="009038B6">
      <w:pPr>
        <w:rPr>
          <w:rFonts w:ascii="Helvetica" w:hAnsi="Helvetica" w:cs="Helvetica"/>
          <w:lang w:val="en-US"/>
        </w:rPr>
      </w:pPr>
    </w:p>
    <w:p w14:paraId="6D1BD092" w14:textId="650560FA" w:rsidR="00DF0B59" w:rsidRDefault="004027CF" w:rsidP="009038B6">
      <w:pPr>
        <w:rPr>
          <w:rFonts w:ascii="Arial" w:hAnsi="Arial"/>
        </w:rPr>
      </w:pPr>
      <w:r>
        <w:rPr>
          <w:rFonts w:ascii="Helvetica" w:hAnsi="Helvetica" w:cs="Helvetica"/>
          <w:lang w:val="en-US"/>
        </w:rPr>
        <w:t> </w:t>
      </w:r>
    </w:p>
    <w:p w14:paraId="16A156D4" w14:textId="77777777" w:rsidR="005C76D2" w:rsidRDefault="004027CF" w:rsidP="009038B6">
      <w:pPr>
        <w:rPr>
          <w:rFonts w:ascii="Arial" w:hAnsi="Arial"/>
        </w:rPr>
      </w:pPr>
      <w:r>
        <w:rPr>
          <w:rFonts w:ascii="Arial" w:hAnsi="Arial"/>
        </w:rPr>
        <w:t>SYRESHAM</w:t>
      </w:r>
    </w:p>
    <w:p w14:paraId="22ABAA22" w14:textId="77777777" w:rsidR="005C76D2" w:rsidRDefault="005C76D2" w:rsidP="009038B6">
      <w:pPr>
        <w:rPr>
          <w:rFonts w:ascii="Arial" w:hAnsi="Arial"/>
        </w:rPr>
      </w:pPr>
    </w:p>
    <w:p w14:paraId="108A7F21" w14:textId="2616C855" w:rsidR="002622E6" w:rsidRDefault="009E5412" w:rsidP="009038B6">
      <w:pPr>
        <w:rPr>
          <w:rFonts w:ascii="Arial" w:hAnsi="Arial"/>
        </w:rPr>
      </w:pPr>
      <w:r>
        <w:rPr>
          <w:rFonts w:ascii="Arial" w:hAnsi="Arial"/>
        </w:rPr>
        <w:t>Syresham has</w:t>
      </w:r>
      <w:r w:rsidR="005C76D2">
        <w:rPr>
          <w:rFonts w:ascii="Arial" w:hAnsi="Arial"/>
        </w:rPr>
        <w:t xml:space="preserve"> been supported by their Friends and Trust fund in keeping the maintenance of the church going and installing their new Sound System</w:t>
      </w:r>
      <w:r w:rsidR="00D556BE">
        <w:rPr>
          <w:rFonts w:ascii="Arial" w:hAnsi="Arial"/>
        </w:rPr>
        <w:t>.</w:t>
      </w:r>
      <w:r w:rsidR="005C76D2">
        <w:rPr>
          <w:rFonts w:ascii="Arial" w:hAnsi="Arial"/>
        </w:rPr>
        <w:t xml:space="preserve"> Regular Giving has decreased due to folk moving away.  Syresham are in the same position as Helmdon </w:t>
      </w:r>
      <w:r>
        <w:rPr>
          <w:rFonts w:ascii="Arial" w:hAnsi="Arial"/>
        </w:rPr>
        <w:t>in that they rely on a few long-</w:t>
      </w:r>
      <w:r w:rsidR="005C76D2">
        <w:rPr>
          <w:rFonts w:ascii="Arial" w:hAnsi="Arial"/>
        </w:rPr>
        <w:t>standing givers and need to encourage some new supporters to give regularly.</w:t>
      </w:r>
    </w:p>
    <w:p w14:paraId="2F30CDD6" w14:textId="77777777" w:rsidR="005C76D2" w:rsidRDefault="005C76D2" w:rsidP="009038B6">
      <w:pPr>
        <w:rPr>
          <w:rFonts w:ascii="Arial" w:hAnsi="Arial"/>
        </w:rPr>
      </w:pPr>
    </w:p>
    <w:p w14:paraId="7E554EEC" w14:textId="2DC212DE" w:rsidR="005C76D2" w:rsidRDefault="005C76D2" w:rsidP="009038B6">
      <w:pPr>
        <w:rPr>
          <w:rFonts w:ascii="Arial" w:hAnsi="Arial"/>
        </w:rPr>
      </w:pPr>
      <w:r>
        <w:rPr>
          <w:rFonts w:ascii="Arial" w:hAnsi="Arial"/>
        </w:rPr>
        <w:t xml:space="preserve">Fundraising was disappointing falling on the hottest and then the coldest day of the year for the fete and Christmas Fair respectively.  However Parish Share, Insurance and utility payments are keeping on track at the moment.  They will not be able to pay the full </w:t>
      </w:r>
      <w:r w:rsidR="009E5412">
        <w:rPr>
          <w:rFonts w:ascii="Arial" w:hAnsi="Arial"/>
        </w:rPr>
        <w:t>share but hope to do better than</w:t>
      </w:r>
      <w:r>
        <w:rPr>
          <w:rFonts w:ascii="Arial" w:hAnsi="Arial"/>
        </w:rPr>
        <w:t xml:space="preserve"> last year.</w:t>
      </w:r>
    </w:p>
    <w:p w14:paraId="095A9576" w14:textId="77777777" w:rsidR="009E5412" w:rsidRDefault="009E5412" w:rsidP="009038B6">
      <w:pPr>
        <w:rPr>
          <w:rFonts w:ascii="Arial" w:hAnsi="Arial"/>
        </w:rPr>
      </w:pPr>
    </w:p>
    <w:p w14:paraId="732475EE" w14:textId="0C166A79" w:rsidR="009E5412" w:rsidRDefault="009E5412" w:rsidP="009038B6">
      <w:pPr>
        <w:rPr>
          <w:rFonts w:ascii="Arial" w:hAnsi="Arial"/>
        </w:rPr>
      </w:pPr>
      <w:r>
        <w:rPr>
          <w:rFonts w:ascii="Arial" w:hAnsi="Arial"/>
        </w:rPr>
        <w:t>The challenge next year is to meet the costs of new shingles on the steeple.  They need to raise £80,200 and find that they do not have access to the capital in their Trust Fund – income only. However, due to the generosity of Friends, congregation and community as well as NHCT grant fund a good start has been made.  ~£30,000 pledged so far with a loan of £45,000 promised.  It is hoped to make up the final £5,000 through gifts and they are awaiting the results of four further grant applications.</w:t>
      </w:r>
    </w:p>
    <w:p w14:paraId="56E6FF5A" w14:textId="77777777" w:rsidR="009E5412" w:rsidRDefault="009E5412" w:rsidP="009038B6">
      <w:pPr>
        <w:rPr>
          <w:rFonts w:ascii="Arial" w:hAnsi="Arial"/>
        </w:rPr>
      </w:pPr>
    </w:p>
    <w:p w14:paraId="4586C0B6" w14:textId="52FF5BA1" w:rsidR="00D556BE" w:rsidRDefault="009E5412" w:rsidP="009038B6">
      <w:pPr>
        <w:rPr>
          <w:rFonts w:ascii="Arial" w:hAnsi="Arial"/>
        </w:rPr>
      </w:pPr>
      <w:r>
        <w:rPr>
          <w:rFonts w:ascii="Arial" w:hAnsi="Arial"/>
        </w:rPr>
        <w:t>WAPPENHAM</w:t>
      </w:r>
    </w:p>
    <w:p w14:paraId="1B56FF3C" w14:textId="4BC9DF05" w:rsidR="001607E7" w:rsidRDefault="00D556BE" w:rsidP="009E5412">
      <w:pPr>
        <w:rPr>
          <w:rFonts w:ascii="Arial" w:hAnsi="Arial"/>
        </w:rPr>
      </w:pPr>
      <w:r>
        <w:rPr>
          <w:rFonts w:ascii="Arial" w:hAnsi="Arial"/>
        </w:rPr>
        <w:t>Wappenham</w:t>
      </w:r>
      <w:r w:rsidR="00A404D0">
        <w:rPr>
          <w:rFonts w:ascii="Arial" w:hAnsi="Arial"/>
        </w:rPr>
        <w:t xml:space="preserve"> </w:t>
      </w:r>
      <w:r>
        <w:rPr>
          <w:rFonts w:ascii="Arial" w:hAnsi="Arial"/>
        </w:rPr>
        <w:t>finances are</w:t>
      </w:r>
      <w:r w:rsidR="009E5412">
        <w:rPr>
          <w:rFonts w:ascii="Arial" w:hAnsi="Arial"/>
        </w:rPr>
        <w:t>, once again</w:t>
      </w:r>
      <w:r w:rsidR="00A404D0">
        <w:rPr>
          <w:rFonts w:ascii="Arial" w:hAnsi="Arial"/>
        </w:rPr>
        <w:t xml:space="preserve"> in a good state</w:t>
      </w:r>
      <w:r w:rsidR="009E5412">
        <w:rPr>
          <w:rFonts w:ascii="Arial" w:hAnsi="Arial"/>
        </w:rPr>
        <w:t>.</w:t>
      </w:r>
      <w:r>
        <w:rPr>
          <w:rFonts w:ascii="Arial" w:hAnsi="Arial"/>
        </w:rPr>
        <w:t xml:space="preserve"> </w:t>
      </w:r>
      <w:r w:rsidR="009E5412">
        <w:rPr>
          <w:rFonts w:ascii="Arial" w:hAnsi="Arial"/>
        </w:rPr>
        <w:t>Fundraising, Fete, Dog show and Beer Festival, has been very successful.  Collections are lower largely due last year being helped by some large weddings and funerals.  They will be able to pay their full Parish Share.</w:t>
      </w:r>
    </w:p>
    <w:p w14:paraId="79A7CBC2" w14:textId="77777777" w:rsidR="009E5412" w:rsidRDefault="009E5412" w:rsidP="009E5412">
      <w:pPr>
        <w:rPr>
          <w:rFonts w:ascii="Arial" w:hAnsi="Arial"/>
        </w:rPr>
      </w:pPr>
    </w:p>
    <w:p w14:paraId="3540D846" w14:textId="414A96D3" w:rsidR="009E5412" w:rsidRDefault="009E5412" w:rsidP="009E5412">
      <w:pPr>
        <w:rPr>
          <w:rFonts w:ascii="Arial" w:hAnsi="Arial"/>
        </w:rPr>
      </w:pPr>
      <w:r>
        <w:rPr>
          <w:rFonts w:ascii="Arial" w:hAnsi="Arial"/>
        </w:rPr>
        <w:t>They are using QR codes in the church to help raise funds through sumup.  Other parishes are encouraged to do the same.</w:t>
      </w:r>
    </w:p>
    <w:p w14:paraId="13B5D21E" w14:textId="6588F2E5" w:rsidR="009E5412" w:rsidRDefault="009E5412" w:rsidP="009E5412">
      <w:pPr>
        <w:jc w:val="right"/>
        <w:rPr>
          <w:rFonts w:ascii="Arial" w:hAnsi="Arial"/>
        </w:rPr>
      </w:pPr>
      <w:r>
        <w:rPr>
          <w:rFonts w:ascii="Arial" w:hAnsi="Arial"/>
        </w:rPr>
        <w:t>Action AN AP CJ CB</w:t>
      </w:r>
    </w:p>
    <w:p w14:paraId="33041C87" w14:textId="212A51FD" w:rsidR="009E5412" w:rsidRDefault="009E5412" w:rsidP="009E5412">
      <w:pPr>
        <w:rPr>
          <w:rFonts w:ascii="Arial" w:hAnsi="Arial"/>
        </w:rPr>
      </w:pPr>
      <w:r>
        <w:rPr>
          <w:rFonts w:ascii="Arial" w:hAnsi="Arial"/>
        </w:rPr>
        <w:t>Maintenance of the Churchyard is now shared between the Church and Parish Council.  A formal agreement has been drawn up and the PC will contribute £1,600 per annum towards the upkeep and also help encourage volunteers to do the work. One regular donor has trans</w:t>
      </w:r>
      <w:r w:rsidR="00583129">
        <w:rPr>
          <w:rFonts w:ascii="Arial" w:hAnsi="Arial"/>
        </w:rPr>
        <w:t>ferred their regular giving to b</w:t>
      </w:r>
      <w:r>
        <w:rPr>
          <w:rFonts w:ascii="Arial" w:hAnsi="Arial"/>
        </w:rPr>
        <w:t xml:space="preserve">uying a ride on mower for the churchyard.  Their </w:t>
      </w:r>
      <w:r w:rsidR="00583129">
        <w:rPr>
          <w:rFonts w:ascii="Arial" w:hAnsi="Arial"/>
        </w:rPr>
        <w:t>regular giving will restart once the mower costs have been met.</w:t>
      </w:r>
    </w:p>
    <w:p w14:paraId="3FC744DB" w14:textId="77777777" w:rsidR="009E5412" w:rsidRDefault="009E5412" w:rsidP="009E5412">
      <w:pPr>
        <w:rPr>
          <w:rFonts w:ascii="Arial" w:hAnsi="Arial"/>
        </w:rPr>
      </w:pPr>
    </w:p>
    <w:p w14:paraId="0E489A5C" w14:textId="4B15040B" w:rsidR="002A11CD" w:rsidRDefault="00583129" w:rsidP="009038B6">
      <w:pPr>
        <w:rPr>
          <w:rFonts w:ascii="Arial" w:hAnsi="Arial"/>
        </w:rPr>
      </w:pPr>
      <w:r>
        <w:rPr>
          <w:rFonts w:ascii="Arial" w:hAnsi="Arial"/>
        </w:rPr>
        <w:t>WHITFIELD</w:t>
      </w:r>
    </w:p>
    <w:p w14:paraId="439BCD05" w14:textId="7A53FDF3" w:rsidR="00583129" w:rsidRDefault="00583129" w:rsidP="009038B6">
      <w:pPr>
        <w:rPr>
          <w:rFonts w:ascii="Arial" w:hAnsi="Arial"/>
        </w:rPr>
      </w:pPr>
      <w:r>
        <w:rPr>
          <w:rFonts w:ascii="Arial" w:hAnsi="Arial"/>
        </w:rPr>
        <w:t xml:space="preserve">With the help of </w:t>
      </w:r>
      <w:r w:rsidR="00A404D0">
        <w:rPr>
          <w:rFonts w:ascii="Arial" w:hAnsi="Arial"/>
        </w:rPr>
        <w:t>gift aid</w:t>
      </w:r>
      <w:r>
        <w:rPr>
          <w:rFonts w:ascii="Arial" w:hAnsi="Arial"/>
        </w:rPr>
        <w:t xml:space="preserve"> income and a donation from the Friends to cover the building part of their insurance, Whitfield remain solvent but unable to pay their full Parish Share.</w:t>
      </w:r>
      <w:r w:rsidR="00A404D0">
        <w:rPr>
          <w:rFonts w:ascii="Arial" w:hAnsi="Arial"/>
        </w:rPr>
        <w:t xml:space="preserve"> Unfortunately the Friends’ account has been frozen by Barclays, so there is a cheque for £1298.64 that cannot be cashed at present.</w:t>
      </w:r>
    </w:p>
    <w:p w14:paraId="709FFD9D" w14:textId="77777777" w:rsidR="00A404D0" w:rsidRDefault="00A404D0" w:rsidP="009038B6">
      <w:pPr>
        <w:rPr>
          <w:rFonts w:ascii="Arial" w:hAnsi="Arial"/>
        </w:rPr>
      </w:pPr>
    </w:p>
    <w:p w14:paraId="4159B7F0" w14:textId="4100A3F4" w:rsidR="00583129" w:rsidRDefault="00583129" w:rsidP="009038B6">
      <w:pPr>
        <w:rPr>
          <w:rFonts w:ascii="Arial" w:hAnsi="Arial"/>
        </w:rPr>
      </w:pPr>
      <w:r>
        <w:rPr>
          <w:rFonts w:ascii="Arial" w:hAnsi="Arial"/>
        </w:rPr>
        <w:t>Collections are down</w:t>
      </w:r>
      <w:r w:rsidR="00A404D0">
        <w:rPr>
          <w:rFonts w:ascii="Arial" w:hAnsi="Arial"/>
        </w:rPr>
        <w:t xml:space="preserve"> but Fundraising and events together are increased.</w:t>
      </w:r>
    </w:p>
    <w:p w14:paraId="034245C6" w14:textId="77777777" w:rsidR="00A404D0" w:rsidRDefault="00A404D0" w:rsidP="009038B6">
      <w:pPr>
        <w:rPr>
          <w:rFonts w:ascii="Arial" w:hAnsi="Arial"/>
        </w:rPr>
      </w:pPr>
    </w:p>
    <w:p w14:paraId="207B5F06" w14:textId="0D02BA82" w:rsidR="00A404D0" w:rsidRDefault="00A404D0" w:rsidP="009038B6">
      <w:pPr>
        <w:rPr>
          <w:rFonts w:ascii="Arial" w:hAnsi="Arial"/>
        </w:rPr>
      </w:pPr>
      <w:r>
        <w:rPr>
          <w:rFonts w:ascii="Arial" w:hAnsi="Arial"/>
        </w:rPr>
        <w:t>Sadly Whitfield do not think next year will bring improvement.</w:t>
      </w:r>
    </w:p>
    <w:p w14:paraId="004901ED" w14:textId="77777777" w:rsidR="00583129" w:rsidRDefault="00583129" w:rsidP="009038B6">
      <w:pPr>
        <w:rPr>
          <w:rFonts w:ascii="Arial" w:hAnsi="Arial"/>
        </w:rPr>
      </w:pPr>
    </w:p>
    <w:p w14:paraId="65110B0F" w14:textId="74FC2C91" w:rsidR="00A404D0" w:rsidRDefault="002749AB" w:rsidP="009038B6">
      <w:pPr>
        <w:rPr>
          <w:rFonts w:ascii="Arial" w:hAnsi="Arial"/>
        </w:rPr>
      </w:pPr>
      <w:r>
        <w:rPr>
          <w:rFonts w:ascii="Arial" w:hAnsi="Arial"/>
        </w:rPr>
        <w:t>BENEFICE</w:t>
      </w:r>
    </w:p>
    <w:p w14:paraId="1FBEC79A" w14:textId="77777777" w:rsidR="002749AB" w:rsidRDefault="002749AB" w:rsidP="009038B6">
      <w:pPr>
        <w:rPr>
          <w:rFonts w:ascii="Arial" w:hAnsi="Arial"/>
        </w:rPr>
      </w:pPr>
    </w:p>
    <w:p w14:paraId="0946BDC6" w14:textId="711468D9" w:rsidR="002749AB" w:rsidRDefault="002749AB" w:rsidP="009038B6">
      <w:pPr>
        <w:rPr>
          <w:rFonts w:ascii="Arial" w:hAnsi="Arial"/>
        </w:rPr>
      </w:pPr>
      <w:r>
        <w:rPr>
          <w:rFonts w:ascii="Arial" w:hAnsi="Arial"/>
        </w:rPr>
        <w:t xml:space="preserve">The Benefice finances are still sound.  </w:t>
      </w:r>
      <w:r w:rsidR="008D2894">
        <w:rPr>
          <w:rFonts w:ascii="Arial" w:hAnsi="Arial"/>
        </w:rPr>
        <w:t>The running expenses of the Benefice have almost been covered by income from fees (occasional services). This means that all the Events (Rogation and Maundy Thursday) and Fundraising income has been put towards the Parish Share.</w:t>
      </w:r>
    </w:p>
    <w:p w14:paraId="37074C49" w14:textId="77777777" w:rsidR="008D2894" w:rsidRDefault="008D2894" w:rsidP="009038B6">
      <w:pPr>
        <w:rPr>
          <w:rFonts w:ascii="Arial" w:hAnsi="Arial"/>
        </w:rPr>
      </w:pPr>
    </w:p>
    <w:p w14:paraId="2E066550" w14:textId="20474512" w:rsidR="008D2894" w:rsidRDefault="008D2894" w:rsidP="009038B6">
      <w:pPr>
        <w:rPr>
          <w:rFonts w:ascii="Arial" w:hAnsi="Arial"/>
        </w:rPr>
      </w:pPr>
      <w:r>
        <w:rPr>
          <w:rFonts w:ascii="Arial" w:hAnsi="Arial"/>
        </w:rPr>
        <w:t>We have paid £45,249.30 of our Parish Share to date and hope to increase this to over £60,000 by the end of the year.  It is unlikely that we will reach the £62,714 paid last year given the information from parishes above.</w:t>
      </w:r>
    </w:p>
    <w:p w14:paraId="1F8CA14A" w14:textId="77777777" w:rsidR="008D2894" w:rsidRDefault="008D2894" w:rsidP="009038B6">
      <w:pPr>
        <w:rPr>
          <w:rFonts w:ascii="Arial" w:hAnsi="Arial"/>
        </w:rPr>
      </w:pPr>
    </w:p>
    <w:p w14:paraId="59E23BF4" w14:textId="706B24EE" w:rsidR="00A404D0" w:rsidRPr="00A404D0" w:rsidRDefault="00A404D0" w:rsidP="009038B6">
      <w:pPr>
        <w:rPr>
          <w:rFonts w:ascii="Arial" w:hAnsi="Arial"/>
          <w:b/>
        </w:rPr>
      </w:pPr>
      <w:r w:rsidRPr="00A404D0">
        <w:rPr>
          <w:rFonts w:ascii="Arial" w:hAnsi="Arial"/>
          <w:b/>
        </w:rPr>
        <w:t>PARISH SHARE</w:t>
      </w:r>
    </w:p>
    <w:p w14:paraId="5722E2FF" w14:textId="77777777" w:rsidR="00A404D0" w:rsidRDefault="00A404D0" w:rsidP="009038B6">
      <w:pPr>
        <w:rPr>
          <w:rFonts w:ascii="Arial" w:hAnsi="Arial"/>
        </w:rPr>
      </w:pPr>
    </w:p>
    <w:p w14:paraId="5974A590" w14:textId="1C7496FD" w:rsidR="00A404D0" w:rsidRDefault="00A404D0" w:rsidP="009038B6">
      <w:pPr>
        <w:rPr>
          <w:rFonts w:ascii="Arial" w:hAnsi="Arial"/>
        </w:rPr>
      </w:pPr>
      <w:r>
        <w:rPr>
          <w:rFonts w:ascii="Arial" w:hAnsi="Arial"/>
        </w:rPr>
        <w:t>Church general account reserves from profile:</w:t>
      </w:r>
    </w:p>
    <w:p w14:paraId="432C7AEC" w14:textId="77777777" w:rsidR="00A404D0" w:rsidRDefault="00A404D0" w:rsidP="009038B6">
      <w:pPr>
        <w:rPr>
          <w:rFonts w:ascii="Arial" w:hAnsi="Arial"/>
        </w:rPr>
      </w:pPr>
    </w:p>
    <w:tbl>
      <w:tblPr>
        <w:tblW w:w="9568" w:type="dxa"/>
        <w:jc w:val="center"/>
        <w:tblInd w:w="-671" w:type="dxa"/>
        <w:tblLayout w:type="fixed"/>
        <w:tblLook w:val="04A0" w:firstRow="1" w:lastRow="0" w:firstColumn="1" w:lastColumn="0" w:noHBand="0" w:noVBand="1"/>
      </w:tblPr>
      <w:tblGrid>
        <w:gridCol w:w="1311"/>
        <w:gridCol w:w="2302"/>
        <w:gridCol w:w="1418"/>
        <w:gridCol w:w="2482"/>
        <w:gridCol w:w="2055"/>
      </w:tblGrid>
      <w:tr w:rsidR="00D17912" w:rsidRPr="00360740" w14:paraId="40EBA1FC" w14:textId="77777777" w:rsidTr="00D17912">
        <w:trPr>
          <w:trHeight w:val="300"/>
          <w:jc w:val="center"/>
        </w:trPr>
        <w:tc>
          <w:tcPr>
            <w:tcW w:w="1311"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0CC2DE2C" w14:textId="77777777" w:rsidR="00A404D0" w:rsidRPr="0094003C" w:rsidRDefault="00A404D0" w:rsidP="00A404D0">
            <w:pPr>
              <w:ind w:left="175"/>
              <w:jc w:val="center"/>
              <w:rPr>
                <w:rFonts w:ascii="Calibri" w:hAnsi="Calibri"/>
              </w:rPr>
            </w:pPr>
            <w:r w:rsidRPr="0094003C">
              <w:rPr>
                <w:rFonts w:ascii="Calibri" w:hAnsi="Calibri"/>
              </w:rPr>
              <w:t>Helmdon</w:t>
            </w:r>
          </w:p>
        </w:tc>
        <w:tc>
          <w:tcPr>
            <w:tcW w:w="2302" w:type="dxa"/>
            <w:tcBorders>
              <w:top w:val="single" w:sz="4" w:space="0" w:color="auto"/>
              <w:left w:val="nil"/>
              <w:bottom w:val="single" w:sz="4" w:space="0" w:color="auto"/>
              <w:right w:val="single" w:sz="4" w:space="0" w:color="auto"/>
            </w:tcBorders>
            <w:shd w:val="clear" w:color="auto" w:fill="FFFF99"/>
            <w:noWrap/>
            <w:vAlign w:val="bottom"/>
            <w:hideMark/>
          </w:tcPr>
          <w:p w14:paraId="2AD2065E" w14:textId="77777777" w:rsidR="00A404D0" w:rsidRPr="0094003C" w:rsidRDefault="00A404D0" w:rsidP="00A404D0">
            <w:pPr>
              <w:ind w:left="360"/>
              <w:jc w:val="center"/>
              <w:rPr>
                <w:rFonts w:ascii="Calibri" w:hAnsi="Calibri"/>
              </w:rPr>
            </w:pPr>
            <w:r w:rsidRPr="0094003C">
              <w:rPr>
                <w:rFonts w:ascii="Calibri" w:hAnsi="Calibri"/>
              </w:rPr>
              <w:t>Lois</w:t>
            </w:r>
          </w:p>
        </w:tc>
        <w:tc>
          <w:tcPr>
            <w:tcW w:w="1418" w:type="dxa"/>
            <w:tcBorders>
              <w:top w:val="single" w:sz="4" w:space="0" w:color="auto"/>
              <w:left w:val="nil"/>
              <w:bottom w:val="single" w:sz="4" w:space="0" w:color="auto"/>
              <w:right w:val="single" w:sz="4" w:space="0" w:color="auto"/>
            </w:tcBorders>
            <w:shd w:val="clear" w:color="auto" w:fill="FFFF99"/>
            <w:noWrap/>
            <w:vAlign w:val="bottom"/>
            <w:hideMark/>
          </w:tcPr>
          <w:p w14:paraId="564B0975" w14:textId="77777777" w:rsidR="00A404D0" w:rsidRPr="0094003C" w:rsidRDefault="00A404D0" w:rsidP="00A404D0">
            <w:pPr>
              <w:ind w:left="176"/>
              <w:jc w:val="center"/>
              <w:rPr>
                <w:rFonts w:ascii="Calibri" w:hAnsi="Calibri"/>
              </w:rPr>
            </w:pPr>
            <w:r w:rsidRPr="0094003C">
              <w:rPr>
                <w:rFonts w:ascii="Calibri" w:hAnsi="Calibri"/>
              </w:rPr>
              <w:t>Syresham</w:t>
            </w:r>
          </w:p>
        </w:tc>
        <w:tc>
          <w:tcPr>
            <w:tcW w:w="2482" w:type="dxa"/>
            <w:tcBorders>
              <w:top w:val="single" w:sz="4" w:space="0" w:color="auto"/>
              <w:left w:val="nil"/>
              <w:bottom w:val="single" w:sz="4" w:space="0" w:color="auto"/>
              <w:right w:val="single" w:sz="4" w:space="0" w:color="auto"/>
            </w:tcBorders>
            <w:shd w:val="clear" w:color="auto" w:fill="FFFF99"/>
            <w:noWrap/>
            <w:vAlign w:val="bottom"/>
            <w:hideMark/>
          </w:tcPr>
          <w:p w14:paraId="17B6A805" w14:textId="77777777" w:rsidR="00A404D0" w:rsidRPr="0094003C" w:rsidRDefault="00A404D0" w:rsidP="00A404D0">
            <w:pPr>
              <w:ind w:left="34"/>
              <w:jc w:val="center"/>
              <w:rPr>
                <w:rFonts w:ascii="Calibri" w:hAnsi="Calibri"/>
              </w:rPr>
            </w:pPr>
            <w:r w:rsidRPr="0094003C">
              <w:rPr>
                <w:rFonts w:ascii="Calibri" w:hAnsi="Calibri"/>
              </w:rPr>
              <w:t>Wappenham</w:t>
            </w:r>
          </w:p>
        </w:tc>
        <w:tc>
          <w:tcPr>
            <w:tcW w:w="2055" w:type="dxa"/>
            <w:tcBorders>
              <w:top w:val="single" w:sz="4" w:space="0" w:color="auto"/>
              <w:left w:val="nil"/>
              <w:bottom w:val="single" w:sz="4" w:space="0" w:color="auto"/>
              <w:right w:val="single" w:sz="4" w:space="0" w:color="auto"/>
            </w:tcBorders>
            <w:shd w:val="clear" w:color="auto" w:fill="FFFF99"/>
            <w:noWrap/>
            <w:vAlign w:val="bottom"/>
            <w:hideMark/>
          </w:tcPr>
          <w:p w14:paraId="55588B7A" w14:textId="77777777" w:rsidR="00A404D0" w:rsidRPr="0094003C" w:rsidRDefault="00A404D0" w:rsidP="00A404D0">
            <w:pPr>
              <w:ind w:left="176"/>
              <w:jc w:val="center"/>
              <w:rPr>
                <w:rFonts w:ascii="Calibri" w:hAnsi="Calibri"/>
              </w:rPr>
            </w:pPr>
            <w:r w:rsidRPr="0094003C">
              <w:rPr>
                <w:rFonts w:ascii="Calibri" w:hAnsi="Calibri"/>
              </w:rPr>
              <w:t>Whitfield</w:t>
            </w:r>
          </w:p>
        </w:tc>
      </w:tr>
      <w:tr w:rsidR="00D17912" w:rsidRPr="00360740" w14:paraId="25F856F3" w14:textId="77777777" w:rsidTr="00D17912">
        <w:trPr>
          <w:trHeight w:val="300"/>
          <w:jc w:val="center"/>
        </w:trPr>
        <w:tc>
          <w:tcPr>
            <w:tcW w:w="13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21225" w14:textId="77777777" w:rsidR="00A404D0" w:rsidRPr="0094003C" w:rsidRDefault="00A404D0" w:rsidP="00A404D0">
            <w:pPr>
              <w:ind w:left="360"/>
              <w:jc w:val="right"/>
              <w:rPr>
                <w:rFonts w:ascii="Calibri" w:hAnsi="Calibri"/>
              </w:rPr>
            </w:pPr>
            <w:r w:rsidRPr="0094003C">
              <w:rPr>
                <w:rFonts w:ascii="Calibri" w:hAnsi="Calibri"/>
              </w:rPr>
              <w:t>£1,500</w:t>
            </w:r>
          </w:p>
        </w:tc>
        <w:tc>
          <w:tcPr>
            <w:tcW w:w="2302" w:type="dxa"/>
            <w:tcBorders>
              <w:top w:val="nil"/>
              <w:left w:val="nil"/>
              <w:bottom w:val="single" w:sz="4" w:space="0" w:color="auto"/>
              <w:right w:val="single" w:sz="4" w:space="0" w:color="auto"/>
            </w:tcBorders>
            <w:shd w:val="clear" w:color="auto" w:fill="auto"/>
            <w:noWrap/>
            <w:vAlign w:val="bottom"/>
            <w:hideMark/>
          </w:tcPr>
          <w:p w14:paraId="0C6EE7DE" w14:textId="77777777" w:rsidR="00A404D0" w:rsidRPr="0094003C" w:rsidRDefault="00A404D0" w:rsidP="00A404D0">
            <w:pPr>
              <w:ind w:left="34"/>
              <w:jc w:val="center"/>
              <w:rPr>
                <w:rFonts w:ascii="Calibri" w:hAnsi="Calibri"/>
              </w:rPr>
            </w:pPr>
            <w:r w:rsidRPr="0094003C">
              <w:rPr>
                <w:rFonts w:ascii="Calibri" w:hAnsi="Calibri"/>
              </w:rPr>
              <w:t>Anything positive</w:t>
            </w:r>
          </w:p>
        </w:tc>
        <w:tc>
          <w:tcPr>
            <w:tcW w:w="1418" w:type="dxa"/>
            <w:tcBorders>
              <w:top w:val="nil"/>
              <w:left w:val="nil"/>
              <w:bottom w:val="single" w:sz="4" w:space="0" w:color="auto"/>
              <w:right w:val="single" w:sz="4" w:space="0" w:color="auto"/>
            </w:tcBorders>
            <w:shd w:val="clear" w:color="auto" w:fill="auto"/>
            <w:noWrap/>
            <w:vAlign w:val="bottom"/>
            <w:hideMark/>
          </w:tcPr>
          <w:p w14:paraId="15C1DBA2" w14:textId="77777777" w:rsidR="00A404D0" w:rsidRPr="0094003C" w:rsidRDefault="00A404D0" w:rsidP="00A404D0">
            <w:pPr>
              <w:ind w:left="360"/>
              <w:jc w:val="right"/>
              <w:rPr>
                <w:rFonts w:ascii="Calibri" w:hAnsi="Calibri"/>
              </w:rPr>
            </w:pPr>
            <w:r>
              <w:rPr>
                <w:rFonts w:ascii="Calibri" w:hAnsi="Calibri"/>
              </w:rPr>
              <w:t>£1,0</w:t>
            </w:r>
            <w:r w:rsidRPr="0094003C">
              <w:rPr>
                <w:rFonts w:ascii="Calibri" w:hAnsi="Calibri"/>
              </w:rPr>
              <w:t>00</w:t>
            </w:r>
          </w:p>
        </w:tc>
        <w:tc>
          <w:tcPr>
            <w:tcW w:w="2482" w:type="dxa"/>
            <w:tcBorders>
              <w:top w:val="nil"/>
              <w:left w:val="nil"/>
              <w:bottom w:val="single" w:sz="4" w:space="0" w:color="auto"/>
              <w:right w:val="single" w:sz="4" w:space="0" w:color="auto"/>
            </w:tcBorders>
            <w:shd w:val="clear" w:color="auto" w:fill="auto"/>
            <w:noWrap/>
            <w:vAlign w:val="bottom"/>
            <w:hideMark/>
          </w:tcPr>
          <w:p w14:paraId="4913A13B" w14:textId="77777777" w:rsidR="00A404D0" w:rsidRPr="0094003C" w:rsidRDefault="00A404D0" w:rsidP="00A404D0">
            <w:pPr>
              <w:ind w:left="34"/>
              <w:jc w:val="center"/>
              <w:rPr>
                <w:rFonts w:ascii="Calibri" w:hAnsi="Calibri"/>
              </w:rPr>
            </w:pPr>
            <w:r w:rsidRPr="0094003C">
              <w:rPr>
                <w:rFonts w:ascii="Calibri" w:hAnsi="Calibri"/>
              </w:rPr>
              <w:t>Anything positive</w:t>
            </w:r>
          </w:p>
        </w:tc>
        <w:tc>
          <w:tcPr>
            <w:tcW w:w="2055" w:type="dxa"/>
            <w:tcBorders>
              <w:top w:val="nil"/>
              <w:left w:val="nil"/>
              <w:bottom w:val="single" w:sz="4" w:space="0" w:color="auto"/>
              <w:right w:val="single" w:sz="4" w:space="0" w:color="auto"/>
            </w:tcBorders>
            <w:shd w:val="clear" w:color="auto" w:fill="auto"/>
            <w:noWrap/>
            <w:vAlign w:val="bottom"/>
            <w:hideMark/>
          </w:tcPr>
          <w:p w14:paraId="111D23F0" w14:textId="77777777" w:rsidR="00A404D0" w:rsidRPr="0094003C" w:rsidRDefault="00A404D0" w:rsidP="00A404D0">
            <w:pPr>
              <w:ind w:left="360"/>
              <w:jc w:val="right"/>
              <w:rPr>
                <w:rFonts w:ascii="Calibri" w:hAnsi="Calibri"/>
              </w:rPr>
            </w:pPr>
            <w:r w:rsidRPr="0094003C">
              <w:rPr>
                <w:rFonts w:ascii="Calibri" w:hAnsi="Calibri"/>
              </w:rPr>
              <w:t>£800</w:t>
            </w:r>
          </w:p>
        </w:tc>
      </w:tr>
    </w:tbl>
    <w:p w14:paraId="4A53D298" w14:textId="77777777" w:rsidR="00A404D0" w:rsidRDefault="00A404D0" w:rsidP="009038B6">
      <w:pPr>
        <w:rPr>
          <w:rFonts w:ascii="Arial" w:hAnsi="Arial"/>
        </w:rPr>
      </w:pPr>
    </w:p>
    <w:tbl>
      <w:tblPr>
        <w:tblW w:w="10200" w:type="dxa"/>
        <w:tblInd w:w="-318" w:type="dxa"/>
        <w:tblLayout w:type="fixed"/>
        <w:tblLook w:val="04A0" w:firstRow="1" w:lastRow="0" w:firstColumn="1" w:lastColumn="0" w:noHBand="0" w:noVBand="1"/>
      </w:tblPr>
      <w:tblGrid>
        <w:gridCol w:w="1552"/>
        <w:gridCol w:w="1426"/>
        <w:gridCol w:w="1276"/>
        <w:gridCol w:w="1417"/>
        <w:gridCol w:w="1559"/>
        <w:gridCol w:w="1418"/>
        <w:gridCol w:w="1552"/>
      </w:tblGrid>
      <w:tr w:rsidR="00A404D0" w:rsidRPr="00360740" w14:paraId="4F54904A" w14:textId="77777777" w:rsidTr="00A404D0">
        <w:trPr>
          <w:trHeight w:val="300"/>
        </w:trPr>
        <w:tc>
          <w:tcPr>
            <w:tcW w:w="1552" w:type="dxa"/>
            <w:tcBorders>
              <w:top w:val="nil"/>
              <w:left w:val="nil"/>
              <w:bottom w:val="nil"/>
              <w:right w:val="nil"/>
            </w:tcBorders>
            <w:shd w:val="clear" w:color="auto" w:fill="auto"/>
            <w:noWrap/>
            <w:vAlign w:val="bottom"/>
            <w:hideMark/>
          </w:tcPr>
          <w:p w14:paraId="31FBCD4E" w14:textId="77777777" w:rsidR="00A404D0" w:rsidRPr="0094003C" w:rsidRDefault="00A404D0" w:rsidP="00A404D0">
            <w:pPr>
              <w:ind w:left="360"/>
              <w:rPr>
                <w:rFonts w:ascii="Calibri" w:hAnsi="Calibri"/>
              </w:rPr>
            </w:pPr>
          </w:p>
        </w:tc>
        <w:tc>
          <w:tcPr>
            <w:tcW w:w="1426" w:type="dxa"/>
            <w:tcBorders>
              <w:top w:val="single" w:sz="4" w:space="0" w:color="auto"/>
              <w:left w:val="single" w:sz="4" w:space="0" w:color="auto"/>
              <w:bottom w:val="single" w:sz="4" w:space="0" w:color="auto"/>
              <w:right w:val="single" w:sz="4" w:space="0" w:color="auto"/>
            </w:tcBorders>
            <w:shd w:val="clear" w:color="auto" w:fill="FFFF99"/>
            <w:noWrap/>
            <w:vAlign w:val="bottom"/>
            <w:hideMark/>
          </w:tcPr>
          <w:p w14:paraId="24000281" w14:textId="77777777" w:rsidR="00A404D0" w:rsidRPr="0094003C" w:rsidRDefault="00A404D0" w:rsidP="00A404D0">
            <w:pPr>
              <w:ind w:left="176"/>
              <w:rPr>
                <w:rFonts w:ascii="Calibri" w:hAnsi="Calibri"/>
              </w:rPr>
            </w:pPr>
            <w:r w:rsidRPr="0094003C">
              <w:rPr>
                <w:rFonts w:ascii="Calibri" w:hAnsi="Calibri"/>
              </w:rPr>
              <w:t>Helmdon</w:t>
            </w:r>
          </w:p>
        </w:tc>
        <w:tc>
          <w:tcPr>
            <w:tcW w:w="1276" w:type="dxa"/>
            <w:tcBorders>
              <w:top w:val="single" w:sz="4" w:space="0" w:color="auto"/>
              <w:left w:val="nil"/>
              <w:bottom w:val="single" w:sz="4" w:space="0" w:color="auto"/>
              <w:right w:val="single" w:sz="4" w:space="0" w:color="auto"/>
            </w:tcBorders>
            <w:shd w:val="clear" w:color="auto" w:fill="FFFF99"/>
            <w:noWrap/>
            <w:vAlign w:val="bottom"/>
            <w:hideMark/>
          </w:tcPr>
          <w:p w14:paraId="2F6CC82F" w14:textId="77777777" w:rsidR="00A404D0" w:rsidRPr="0094003C" w:rsidRDefault="00A404D0" w:rsidP="00A404D0">
            <w:pPr>
              <w:ind w:left="360"/>
              <w:rPr>
                <w:rFonts w:ascii="Calibri" w:hAnsi="Calibri"/>
              </w:rPr>
            </w:pPr>
            <w:r w:rsidRPr="0094003C">
              <w:rPr>
                <w:rFonts w:ascii="Calibri" w:hAnsi="Calibri"/>
              </w:rPr>
              <w:t>Lois</w:t>
            </w:r>
          </w:p>
        </w:tc>
        <w:tc>
          <w:tcPr>
            <w:tcW w:w="1417" w:type="dxa"/>
            <w:tcBorders>
              <w:top w:val="single" w:sz="4" w:space="0" w:color="auto"/>
              <w:left w:val="nil"/>
              <w:bottom w:val="single" w:sz="4" w:space="0" w:color="auto"/>
              <w:right w:val="single" w:sz="4" w:space="0" w:color="auto"/>
            </w:tcBorders>
            <w:shd w:val="clear" w:color="auto" w:fill="FFFF99"/>
            <w:noWrap/>
            <w:vAlign w:val="bottom"/>
            <w:hideMark/>
          </w:tcPr>
          <w:p w14:paraId="7B488B30" w14:textId="77777777" w:rsidR="00A404D0" w:rsidRPr="0094003C" w:rsidRDefault="00A404D0" w:rsidP="00A404D0">
            <w:pPr>
              <w:ind w:left="176"/>
              <w:rPr>
                <w:rFonts w:ascii="Calibri" w:hAnsi="Calibri"/>
              </w:rPr>
            </w:pPr>
            <w:r w:rsidRPr="0094003C">
              <w:rPr>
                <w:rFonts w:ascii="Calibri" w:hAnsi="Calibri"/>
              </w:rPr>
              <w:t>Syresham</w:t>
            </w:r>
          </w:p>
        </w:tc>
        <w:tc>
          <w:tcPr>
            <w:tcW w:w="1559" w:type="dxa"/>
            <w:tcBorders>
              <w:top w:val="single" w:sz="4" w:space="0" w:color="auto"/>
              <w:left w:val="nil"/>
              <w:bottom w:val="single" w:sz="4" w:space="0" w:color="auto"/>
              <w:right w:val="single" w:sz="4" w:space="0" w:color="auto"/>
            </w:tcBorders>
            <w:shd w:val="clear" w:color="auto" w:fill="FFFF99"/>
            <w:noWrap/>
            <w:vAlign w:val="bottom"/>
            <w:hideMark/>
          </w:tcPr>
          <w:p w14:paraId="2910A1A8" w14:textId="77777777" w:rsidR="00A404D0" w:rsidRPr="0094003C" w:rsidRDefault="00A404D0" w:rsidP="00A404D0">
            <w:pPr>
              <w:ind w:left="34"/>
              <w:rPr>
                <w:rFonts w:ascii="Calibri" w:hAnsi="Calibri"/>
              </w:rPr>
            </w:pPr>
            <w:r w:rsidRPr="0094003C">
              <w:rPr>
                <w:rFonts w:ascii="Calibri" w:hAnsi="Calibri"/>
              </w:rPr>
              <w:t>Wappenham</w:t>
            </w:r>
          </w:p>
        </w:tc>
        <w:tc>
          <w:tcPr>
            <w:tcW w:w="1418" w:type="dxa"/>
            <w:tcBorders>
              <w:top w:val="single" w:sz="4" w:space="0" w:color="auto"/>
              <w:left w:val="nil"/>
              <w:bottom w:val="single" w:sz="4" w:space="0" w:color="auto"/>
              <w:right w:val="single" w:sz="4" w:space="0" w:color="auto"/>
            </w:tcBorders>
            <w:shd w:val="clear" w:color="auto" w:fill="FFFF99"/>
            <w:noWrap/>
            <w:vAlign w:val="bottom"/>
            <w:hideMark/>
          </w:tcPr>
          <w:p w14:paraId="7E166F30" w14:textId="77777777" w:rsidR="00A404D0" w:rsidRPr="0094003C" w:rsidRDefault="00A404D0" w:rsidP="00A404D0">
            <w:pPr>
              <w:ind w:left="176"/>
              <w:rPr>
                <w:rFonts w:ascii="Calibri" w:hAnsi="Calibri"/>
              </w:rPr>
            </w:pPr>
            <w:r w:rsidRPr="0094003C">
              <w:rPr>
                <w:rFonts w:ascii="Calibri" w:hAnsi="Calibri"/>
              </w:rPr>
              <w:t>Whitfield</w:t>
            </w:r>
          </w:p>
        </w:tc>
        <w:tc>
          <w:tcPr>
            <w:tcW w:w="1552" w:type="dxa"/>
            <w:tcBorders>
              <w:top w:val="single" w:sz="4" w:space="0" w:color="auto"/>
              <w:left w:val="nil"/>
              <w:bottom w:val="single" w:sz="4" w:space="0" w:color="auto"/>
              <w:right w:val="single" w:sz="4" w:space="0" w:color="auto"/>
            </w:tcBorders>
            <w:shd w:val="clear" w:color="auto" w:fill="FFFF99"/>
          </w:tcPr>
          <w:p w14:paraId="3DB47761" w14:textId="77777777" w:rsidR="00A404D0" w:rsidRPr="0094003C" w:rsidRDefault="00A404D0" w:rsidP="00A404D0">
            <w:pPr>
              <w:ind w:left="176"/>
              <w:rPr>
                <w:rFonts w:ascii="Calibri" w:hAnsi="Calibri"/>
              </w:rPr>
            </w:pPr>
            <w:r w:rsidRPr="00124778">
              <w:rPr>
                <w:rFonts w:ascii="Calibri" w:hAnsi="Calibri"/>
                <w:sz w:val="22"/>
              </w:rPr>
              <w:t xml:space="preserve">Benefice Fundraising </w:t>
            </w:r>
          </w:p>
        </w:tc>
      </w:tr>
      <w:tr w:rsidR="00A404D0" w:rsidRPr="00360740" w14:paraId="5E38271B" w14:textId="77777777" w:rsidTr="00A404D0">
        <w:trPr>
          <w:trHeight w:val="300"/>
        </w:trPr>
        <w:tc>
          <w:tcPr>
            <w:tcW w:w="155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04EBB" w14:textId="302FD882" w:rsidR="00A404D0" w:rsidRPr="0094003C" w:rsidRDefault="00A404D0" w:rsidP="00A404D0">
            <w:pPr>
              <w:ind w:left="34"/>
              <w:rPr>
                <w:rFonts w:ascii="Calibri" w:hAnsi="Calibri"/>
              </w:rPr>
            </w:pPr>
            <w:r>
              <w:rPr>
                <w:rFonts w:ascii="Calibri" w:hAnsi="Calibri"/>
              </w:rPr>
              <w:t>Parish Share prior to mtg</w:t>
            </w:r>
          </w:p>
        </w:tc>
        <w:tc>
          <w:tcPr>
            <w:tcW w:w="1426" w:type="dxa"/>
            <w:tcBorders>
              <w:top w:val="nil"/>
              <w:left w:val="nil"/>
              <w:bottom w:val="single" w:sz="4" w:space="0" w:color="auto"/>
              <w:right w:val="single" w:sz="4" w:space="0" w:color="auto"/>
            </w:tcBorders>
            <w:shd w:val="clear" w:color="auto" w:fill="auto"/>
            <w:noWrap/>
            <w:vAlign w:val="bottom"/>
          </w:tcPr>
          <w:p w14:paraId="2A4952B2" w14:textId="4E615695" w:rsidR="00A404D0" w:rsidRPr="0094003C" w:rsidRDefault="00A404D0" w:rsidP="00A404D0">
            <w:pPr>
              <w:ind w:left="360"/>
              <w:jc w:val="right"/>
              <w:rPr>
                <w:rFonts w:ascii="Calibri" w:hAnsi="Calibri"/>
              </w:rPr>
            </w:pPr>
            <w:r>
              <w:rPr>
                <w:rFonts w:ascii="Calibri" w:hAnsi="Calibri"/>
              </w:rPr>
              <w:t>£19,200</w:t>
            </w:r>
          </w:p>
        </w:tc>
        <w:tc>
          <w:tcPr>
            <w:tcW w:w="1276" w:type="dxa"/>
            <w:tcBorders>
              <w:top w:val="nil"/>
              <w:left w:val="nil"/>
              <w:bottom w:val="single" w:sz="4" w:space="0" w:color="auto"/>
              <w:right w:val="single" w:sz="4" w:space="0" w:color="auto"/>
            </w:tcBorders>
            <w:shd w:val="clear" w:color="auto" w:fill="auto"/>
            <w:noWrap/>
            <w:vAlign w:val="bottom"/>
          </w:tcPr>
          <w:p w14:paraId="59F64CC1" w14:textId="3CED427E" w:rsidR="00A404D0" w:rsidRPr="0094003C" w:rsidRDefault="00A404D0" w:rsidP="00A404D0">
            <w:pPr>
              <w:ind w:left="360"/>
              <w:jc w:val="right"/>
              <w:rPr>
                <w:rFonts w:ascii="Calibri" w:hAnsi="Calibri"/>
              </w:rPr>
            </w:pPr>
            <w:r w:rsidRPr="0094003C">
              <w:rPr>
                <w:rFonts w:ascii="Calibri" w:hAnsi="Calibri"/>
              </w:rPr>
              <w:t>£</w:t>
            </w:r>
            <w:r>
              <w:rPr>
                <w:rFonts w:ascii="Calibri" w:hAnsi="Calibri"/>
              </w:rPr>
              <w:t>3,918</w:t>
            </w:r>
          </w:p>
        </w:tc>
        <w:tc>
          <w:tcPr>
            <w:tcW w:w="1417" w:type="dxa"/>
            <w:tcBorders>
              <w:top w:val="nil"/>
              <w:left w:val="nil"/>
              <w:bottom w:val="single" w:sz="4" w:space="0" w:color="auto"/>
              <w:right w:val="single" w:sz="4" w:space="0" w:color="auto"/>
            </w:tcBorders>
            <w:shd w:val="clear" w:color="auto" w:fill="auto"/>
            <w:noWrap/>
            <w:vAlign w:val="bottom"/>
          </w:tcPr>
          <w:p w14:paraId="58EB7D00" w14:textId="3A400C09" w:rsidR="00A404D0" w:rsidRPr="0094003C" w:rsidRDefault="00A404D0" w:rsidP="00234991">
            <w:pPr>
              <w:ind w:left="33"/>
              <w:jc w:val="right"/>
              <w:rPr>
                <w:rFonts w:ascii="Calibri" w:hAnsi="Calibri"/>
              </w:rPr>
            </w:pPr>
            <w:r>
              <w:rPr>
                <w:rFonts w:ascii="Calibri" w:hAnsi="Calibri"/>
              </w:rPr>
              <w:t>£</w:t>
            </w:r>
            <w:r w:rsidR="00234991">
              <w:rPr>
                <w:rFonts w:ascii="Calibri" w:hAnsi="Calibri"/>
              </w:rPr>
              <w:t>10,904.94</w:t>
            </w:r>
          </w:p>
        </w:tc>
        <w:tc>
          <w:tcPr>
            <w:tcW w:w="1559" w:type="dxa"/>
            <w:tcBorders>
              <w:top w:val="nil"/>
              <w:left w:val="nil"/>
              <w:bottom w:val="single" w:sz="4" w:space="0" w:color="auto"/>
              <w:right w:val="single" w:sz="4" w:space="0" w:color="auto"/>
            </w:tcBorders>
            <w:shd w:val="clear" w:color="auto" w:fill="auto"/>
            <w:noWrap/>
            <w:vAlign w:val="bottom"/>
          </w:tcPr>
          <w:p w14:paraId="5D2750A0" w14:textId="14ECACD4" w:rsidR="00A404D0" w:rsidRPr="0094003C" w:rsidRDefault="00A404D0" w:rsidP="00234991">
            <w:pPr>
              <w:ind w:left="360"/>
              <w:jc w:val="right"/>
              <w:rPr>
                <w:rFonts w:ascii="Calibri" w:hAnsi="Calibri"/>
              </w:rPr>
            </w:pPr>
            <w:r>
              <w:rPr>
                <w:rFonts w:ascii="Calibri" w:hAnsi="Calibri"/>
              </w:rPr>
              <w:t>£</w:t>
            </w:r>
            <w:r w:rsidR="00234991">
              <w:rPr>
                <w:rFonts w:ascii="Calibri" w:hAnsi="Calibri"/>
              </w:rPr>
              <w:t>7,364.50</w:t>
            </w:r>
          </w:p>
        </w:tc>
        <w:tc>
          <w:tcPr>
            <w:tcW w:w="1418" w:type="dxa"/>
            <w:tcBorders>
              <w:top w:val="nil"/>
              <w:left w:val="nil"/>
              <w:bottom w:val="single" w:sz="4" w:space="0" w:color="auto"/>
              <w:right w:val="single" w:sz="4" w:space="0" w:color="auto"/>
            </w:tcBorders>
            <w:shd w:val="clear" w:color="auto" w:fill="auto"/>
            <w:noWrap/>
            <w:vAlign w:val="bottom"/>
          </w:tcPr>
          <w:p w14:paraId="484CEBFB" w14:textId="3882C64E" w:rsidR="00A404D0" w:rsidRPr="0094003C" w:rsidRDefault="00A404D0" w:rsidP="00234991">
            <w:pPr>
              <w:ind w:left="34"/>
              <w:jc w:val="right"/>
              <w:rPr>
                <w:rFonts w:ascii="Calibri" w:hAnsi="Calibri"/>
              </w:rPr>
            </w:pPr>
            <w:r w:rsidRPr="0094003C">
              <w:rPr>
                <w:rFonts w:ascii="Calibri" w:hAnsi="Calibri"/>
              </w:rPr>
              <w:t>£</w:t>
            </w:r>
            <w:r w:rsidR="00234991">
              <w:rPr>
                <w:rFonts w:ascii="Calibri" w:hAnsi="Calibri"/>
              </w:rPr>
              <w:t>3030.00</w:t>
            </w:r>
          </w:p>
        </w:tc>
        <w:tc>
          <w:tcPr>
            <w:tcW w:w="1552" w:type="dxa"/>
            <w:tcBorders>
              <w:top w:val="nil"/>
              <w:left w:val="nil"/>
              <w:bottom w:val="single" w:sz="4" w:space="0" w:color="auto"/>
              <w:right w:val="single" w:sz="4" w:space="0" w:color="auto"/>
            </w:tcBorders>
            <w:vAlign w:val="bottom"/>
          </w:tcPr>
          <w:p w14:paraId="4A05DE90" w14:textId="4C1A1569" w:rsidR="00A404D0" w:rsidRPr="0094003C" w:rsidRDefault="00234991" w:rsidP="00A404D0">
            <w:pPr>
              <w:ind w:left="360"/>
              <w:jc w:val="right"/>
              <w:rPr>
                <w:rFonts w:ascii="Calibri" w:hAnsi="Calibri"/>
              </w:rPr>
            </w:pPr>
            <w:r>
              <w:rPr>
                <w:rFonts w:ascii="Calibri" w:hAnsi="Calibri"/>
              </w:rPr>
              <w:t>£7275.42</w:t>
            </w:r>
          </w:p>
        </w:tc>
      </w:tr>
      <w:tr w:rsidR="00A404D0" w:rsidRPr="00360740" w14:paraId="55522B0A" w14:textId="77777777" w:rsidTr="00A404D0">
        <w:trPr>
          <w:trHeight w:val="300"/>
        </w:trPr>
        <w:tc>
          <w:tcPr>
            <w:tcW w:w="1552" w:type="dxa"/>
            <w:tcBorders>
              <w:top w:val="nil"/>
              <w:left w:val="single" w:sz="4" w:space="0" w:color="auto"/>
              <w:bottom w:val="single" w:sz="4" w:space="0" w:color="auto"/>
              <w:right w:val="single" w:sz="4" w:space="0" w:color="auto"/>
            </w:tcBorders>
            <w:shd w:val="clear" w:color="auto" w:fill="auto"/>
            <w:noWrap/>
            <w:vAlign w:val="bottom"/>
            <w:hideMark/>
          </w:tcPr>
          <w:p w14:paraId="2B412D1F" w14:textId="0F139DC7" w:rsidR="00A404D0" w:rsidRPr="0094003C" w:rsidRDefault="00A404D0" w:rsidP="00A404D0">
            <w:pPr>
              <w:rPr>
                <w:rFonts w:ascii="Calibri" w:hAnsi="Calibri"/>
              </w:rPr>
            </w:pPr>
            <w:r>
              <w:rPr>
                <w:rFonts w:ascii="Calibri" w:hAnsi="Calibri"/>
              </w:rPr>
              <w:t>2023 Estimates</w:t>
            </w:r>
          </w:p>
        </w:tc>
        <w:tc>
          <w:tcPr>
            <w:tcW w:w="1426" w:type="dxa"/>
            <w:tcBorders>
              <w:top w:val="nil"/>
              <w:left w:val="nil"/>
              <w:bottom w:val="single" w:sz="4" w:space="0" w:color="auto"/>
              <w:right w:val="single" w:sz="4" w:space="0" w:color="auto"/>
            </w:tcBorders>
            <w:shd w:val="clear" w:color="auto" w:fill="auto"/>
            <w:noWrap/>
            <w:vAlign w:val="bottom"/>
            <w:hideMark/>
          </w:tcPr>
          <w:p w14:paraId="7E6CD0D4" w14:textId="43635A4E" w:rsidR="00A404D0" w:rsidRPr="0094003C" w:rsidRDefault="00A404D0" w:rsidP="00A404D0">
            <w:pPr>
              <w:jc w:val="right"/>
              <w:rPr>
                <w:rFonts w:ascii="Calibri" w:hAnsi="Calibri"/>
              </w:rPr>
            </w:pPr>
            <w:r w:rsidRPr="0094003C">
              <w:rPr>
                <w:rFonts w:ascii="Calibri" w:hAnsi="Calibri"/>
              </w:rPr>
              <w:t>£</w:t>
            </w:r>
            <w:r>
              <w:rPr>
                <w:rFonts w:ascii="Calibri" w:hAnsi="Calibri"/>
              </w:rPr>
              <w:t>22,700</w:t>
            </w:r>
          </w:p>
        </w:tc>
        <w:tc>
          <w:tcPr>
            <w:tcW w:w="1276" w:type="dxa"/>
            <w:tcBorders>
              <w:top w:val="nil"/>
              <w:left w:val="nil"/>
              <w:bottom w:val="single" w:sz="4" w:space="0" w:color="auto"/>
              <w:right w:val="single" w:sz="4" w:space="0" w:color="auto"/>
            </w:tcBorders>
            <w:shd w:val="clear" w:color="auto" w:fill="auto"/>
            <w:noWrap/>
            <w:vAlign w:val="bottom"/>
            <w:hideMark/>
          </w:tcPr>
          <w:p w14:paraId="2F945BAA" w14:textId="6650FDA8" w:rsidR="00A404D0" w:rsidRPr="0094003C" w:rsidRDefault="00A404D0" w:rsidP="00A404D0">
            <w:pPr>
              <w:ind w:left="360"/>
              <w:jc w:val="right"/>
              <w:rPr>
                <w:rFonts w:ascii="Calibri" w:hAnsi="Calibri"/>
              </w:rPr>
            </w:pPr>
            <w:r w:rsidRPr="0094003C">
              <w:rPr>
                <w:rFonts w:ascii="Calibri" w:hAnsi="Calibri"/>
              </w:rPr>
              <w:t>£</w:t>
            </w:r>
            <w:r>
              <w:rPr>
                <w:rFonts w:ascii="Calibri" w:hAnsi="Calibri"/>
              </w:rPr>
              <w:t>3,918</w:t>
            </w:r>
          </w:p>
        </w:tc>
        <w:tc>
          <w:tcPr>
            <w:tcW w:w="1417" w:type="dxa"/>
            <w:tcBorders>
              <w:top w:val="nil"/>
              <w:left w:val="nil"/>
              <w:bottom w:val="single" w:sz="4" w:space="0" w:color="auto"/>
              <w:right w:val="single" w:sz="4" w:space="0" w:color="auto"/>
            </w:tcBorders>
            <w:shd w:val="clear" w:color="auto" w:fill="auto"/>
            <w:noWrap/>
            <w:vAlign w:val="bottom"/>
            <w:hideMark/>
          </w:tcPr>
          <w:p w14:paraId="698D4BF7" w14:textId="0441733A" w:rsidR="00A404D0" w:rsidRPr="0094003C" w:rsidRDefault="00A404D0" w:rsidP="00234991">
            <w:pPr>
              <w:jc w:val="right"/>
              <w:rPr>
                <w:rFonts w:ascii="Calibri" w:hAnsi="Calibri"/>
              </w:rPr>
            </w:pPr>
            <w:r w:rsidRPr="0094003C">
              <w:rPr>
                <w:rFonts w:ascii="Calibri" w:hAnsi="Calibri"/>
              </w:rPr>
              <w:t>£</w:t>
            </w:r>
            <w:r w:rsidR="00234991">
              <w:rPr>
                <w:rFonts w:ascii="Calibri" w:hAnsi="Calibri"/>
              </w:rPr>
              <w:t>13,104,94</w:t>
            </w:r>
          </w:p>
        </w:tc>
        <w:tc>
          <w:tcPr>
            <w:tcW w:w="1559" w:type="dxa"/>
            <w:tcBorders>
              <w:top w:val="nil"/>
              <w:left w:val="nil"/>
              <w:bottom w:val="single" w:sz="4" w:space="0" w:color="auto"/>
              <w:right w:val="single" w:sz="4" w:space="0" w:color="auto"/>
            </w:tcBorders>
            <w:shd w:val="clear" w:color="auto" w:fill="auto"/>
            <w:noWrap/>
            <w:vAlign w:val="bottom"/>
            <w:hideMark/>
          </w:tcPr>
          <w:p w14:paraId="6CA8404F" w14:textId="56AEF6E3" w:rsidR="00A404D0" w:rsidRPr="0094003C" w:rsidRDefault="00A404D0" w:rsidP="00A404D0">
            <w:pPr>
              <w:ind w:left="360"/>
              <w:jc w:val="right"/>
              <w:rPr>
                <w:rFonts w:ascii="Calibri" w:hAnsi="Calibri"/>
              </w:rPr>
            </w:pPr>
            <w:r w:rsidRPr="0094003C">
              <w:rPr>
                <w:rFonts w:ascii="Calibri" w:hAnsi="Calibri"/>
              </w:rPr>
              <w:t>£</w:t>
            </w:r>
            <w:r>
              <w:rPr>
                <w:rFonts w:ascii="Calibri" w:hAnsi="Calibri"/>
              </w:rPr>
              <w:t>9,729</w:t>
            </w:r>
            <w:r w:rsidR="00234991">
              <w:rPr>
                <w:rFonts w:ascii="Calibri" w:hAnsi="Calibri"/>
              </w:rPr>
              <w:t>.00</w:t>
            </w:r>
          </w:p>
        </w:tc>
        <w:tc>
          <w:tcPr>
            <w:tcW w:w="1418" w:type="dxa"/>
            <w:tcBorders>
              <w:top w:val="nil"/>
              <w:left w:val="nil"/>
              <w:bottom w:val="single" w:sz="4" w:space="0" w:color="auto"/>
              <w:right w:val="single" w:sz="4" w:space="0" w:color="auto"/>
            </w:tcBorders>
            <w:shd w:val="clear" w:color="auto" w:fill="auto"/>
            <w:noWrap/>
            <w:vAlign w:val="bottom"/>
            <w:hideMark/>
          </w:tcPr>
          <w:p w14:paraId="0DB80107" w14:textId="3C638760" w:rsidR="00A404D0" w:rsidRPr="0094003C" w:rsidRDefault="00A404D0" w:rsidP="00234991">
            <w:pPr>
              <w:ind w:left="34"/>
              <w:jc w:val="right"/>
              <w:rPr>
                <w:rFonts w:ascii="Calibri" w:hAnsi="Calibri"/>
              </w:rPr>
            </w:pPr>
            <w:r w:rsidRPr="0094003C">
              <w:rPr>
                <w:rFonts w:ascii="Calibri" w:hAnsi="Calibri"/>
              </w:rPr>
              <w:t>£</w:t>
            </w:r>
            <w:r w:rsidR="00234991">
              <w:rPr>
                <w:rFonts w:ascii="Calibri" w:hAnsi="Calibri"/>
              </w:rPr>
              <w:t>3,260.00</w:t>
            </w:r>
          </w:p>
        </w:tc>
        <w:tc>
          <w:tcPr>
            <w:tcW w:w="1552" w:type="dxa"/>
            <w:tcBorders>
              <w:top w:val="nil"/>
              <w:left w:val="nil"/>
              <w:bottom w:val="single" w:sz="4" w:space="0" w:color="auto"/>
              <w:right w:val="single" w:sz="4" w:space="0" w:color="auto"/>
            </w:tcBorders>
            <w:vAlign w:val="bottom"/>
          </w:tcPr>
          <w:p w14:paraId="670C136D" w14:textId="1DCE0954" w:rsidR="00A404D0" w:rsidRPr="0094003C" w:rsidRDefault="00A404D0" w:rsidP="00234991">
            <w:pPr>
              <w:ind w:left="360"/>
              <w:jc w:val="right"/>
              <w:rPr>
                <w:rFonts w:ascii="Calibri" w:hAnsi="Calibri"/>
              </w:rPr>
            </w:pPr>
            <w:r>
              <w:rPr>
                <w:rFonts w:ascii="Calibri" w:hAnsi="Calibri"/>
              </w:rPr>
              <w:t>£</w:t>
            </w:r>
            <w:r w:rsidR="00234991">
              <w:rPr>
                <w:rFonts w:ascii="Calibri" w:hAnsi="Calibri"/>
              </w:rPr>
              <w:t>7275.42</w:t>
            </w:r>
          </w:p>
        </w:tc>
      </w:tr>
      <w:tr w:rsidR="00A404D0" w:rsidRPr="00360740" w14:paraId="0DCE0422" w14:textId="77777777" w:rsidTr="00A404D0">
        <w:trPr>
          <w:trHeight w:val="300"/>
        </w:trPr>
        <w:tc>
          <w:tcPr>
            <w:tcW w:w="1552" w:type="dxa"/>
            <w:tcBorders>
              <w:top w:val="nil"/>
              <w:left w:val="single" w:sz="4" w:space="0" w:color="auto"/>
              <w:bottom w:val="single" w:sz="4" w:space="0" w:color="auto"/>
              <w:right w:val="single" w:sz="4" w:space="0" w:color="auto"/>
            </w:tcBorders>
            <w:shd w:val="clear" w:color="auto" w:fill="auto"/>
            <w:noWrap/>
            <w:vAlign w:val="bottom"/>
          </w:tcPr>
          <w:p w14:paraId="3F50298E" w14:textId="77777777" w:rsidR="00A404D0" w:rsidRDefault="00A404D0" w:rsidP="00A404D0">
            <w:pPr>
              <w:rPr>
                <w:rFonts w:ascii="Calibri" w:hAnsi="Calibri"/>
              </w:rPr>
            </w:pPr>
          </w:p>
        </w:tc>
        <w:tc>
          <w:tcPr>
            <w:tcW w:w="1426" w:type="dxa"/>
            <w:tcBorders>
              <w:top w:val="nil"/>
              <w:left w:val="nil"/>
              <w:bottom w:val="single" w:sz="4" w:space="0" w:color="auto"/>
              <w:right w:val="single" w:sz="4" w:space="0" w:color="auto"/>
            </w:tcBorders>
            <w:shd w:val="clear" w:color="auto" w:fill="auto"/>
            <w:noWrap/>
            <w:vAlign w:val="bottom"/>
          </w:tcPr>
          <w:p w14:paraId="0156F951" w14:textId="761B81D2" w:rsidR="00A404D0" w:rsidRPr="0094003C" w:rsidRDefault="00A404D0" w:rsidP="00A404D0">
            <w:pPr>
              <w:jc w:val="right"/>
              <w:rPr>
                <w:rFonts w:ascii="Calibri" w:hAnsi="Calibri"/>
              </w:rPr>
            </w:pPr>
            <w:r>
              <w:rPr>
                <w:rFonts w:ascii="Calibri" w:hAnsi="Calibri"/>
              </w:rPr>
              <w:t>96%</w:t>
            </w:r>
          </w:p>
        </w:tc>
        <w:tc>
          <w:tcPr>
            <w:tcW w:w="1276" w:type="dxa"/>
            <w:tcBorders>
              <w:top w:val="nil"/>
              <w:left w:val="nil"/>
              <w:bottom w:val="single" w:sz="4" w:space="0" w:color="auto"/>
              <w:right w:val="single" w:sz="4" w:space="0" w:color="auto"/>
            </w:tcBorders>
            <w:shd w:val="clear" w:color="auto" w:fill="auto"/>
            <w:noWrap/>
            <w:vAlign w:val="bottom"/>
          </w:tcPr>
          <w:p w14:paraId="00A74BE8" w14:textId="1850490E" w:rsidR="00A404D0" w:rsidRPr="0094003C" w:rsidRDefault="00A404D0" w:rsidP="00A404D0">
            <w:pPr>
              <w:ind w:left="360"/>
              <w:jc w:val="right"/>
              <w:rPr>
                <w:rFonts w:ascii="Calibri" w:hAnsi="Calibri"/>
              </w:rPr>
            </w:pPr>
            <w:r>
              <w:rPr>
                <w:rFonts w:ascii="Calibri" w:hAnsi="Calibri"/>
              </w:rPr>
              <w:t>40%</w:t>
            </w:r>
          </w:p>
        </w:tc>
        <w:tc>
          <w:tcPr>
            <w:tcW w:w="1417" w:type="dxa"/>
            <w:tcBorders>
              <w:top w:val="nil"/>
              <w:left w:val="nil"/>
              <w:bottom w:val="single" w:sz="4" w:space="0" w:color="auto"/>
              <w:right w:val="single" w:sz="4" w:space="0" w:color="auto"/>
            </w:tcBorders>
            <w:shd w:val="clear" w:color="auto" w:fill="auto"/>
            <w:noWrap/>
            <w:vAlign w:val="bottom"/>
          </w:tcPr>
          <w:p w14:paraId="2D17AE98" w14:textId="5B0F69FD" w:rsidR="00A404D0" w:rsidRPr="0094003C" w:rsidRDefault="00A404D0" w:rsidP="00A404D0">
            <w:pPr>
              <w:ind w:left="360"/>
              <w:jc w:val="right"/>
              <w:rPr>
                <w:rFonts w:ascii="Calibri" w:hAnsi="Calibri"/>
              </w:rPr>
            </w:pPr>
            <w:r>
              <w:rPr>
                <w:rFonts w:ascii="Calibri" w:hAnsi="Calibri"/>
              </w:rPr>
              <w:t>75%</w:t>
            </w:r>
          </w:p>
        </w:tc>
        <w:tc>
          <w:tcPr>
            <w:tcW w:w="1559" w:type="dxa"/>
            <w:tcBorders>
              <w:top w:val="nil"/>
              <w:left w:val="nil"/>
              <w:bottom w:val="single" w:sz="4" w:space="0" w:color="auto"/>
              <w:right w:val="single" w:sz="4" w:space="0" w:color="auto"/>
            </w:tcBorders>
            <w:shd w:val="clear" w:color="auto" w:fill="auto"/>
            <w:noWrap/>
            <w:vAlign w:val="bottom"/>
          </w:tcPr>
          <w:p w14:paraId="0091BBC0" w14:textId="7961E8D2" w:rsidR="00A404D0" w:rsidRPr="0094003C" w:rsidRDefault="00A404D0" w:rsidP="00A404D0">
            <w:pPr>
              <w:ind w:left="360"/>
              <w:jc w:val="right"/>
              <w:rPr>
                <w:rFonts w:ascii="Calibri" w:hAnsi="Calibri"/>
              </w:rPr>
            </w:pPr>
            <w:r>
              <w:rPr>
                <w:rFonts w:ascii="Calibri" w:hAnsi="Calibri"/>
              </w:rPr>
              <w:t>100%</w:t>
            </w:r>
          </w:p>
        </w:tc>
        <w:tc>
          <w:tcPr>
            <w:tcW w:w="1418" w:type="dxa"/>
            <w:tcBorders>
              <w:top w:val="nil"/>
              <w:left w:val="nil"/>
              <w:bottom w:val="single" w:sz="4" w:space="0" w:color="auto"/>
              <w:right w:val="single" w:sz="4" w:space="0" w:color="auto"/>
            </w:tcBorders>
            <w:shd w:val="clear" w:color="auto" w:fill="auto"/>
            <w:noWrap/>
            <w:vAlign w:val="bottom"/>
          </w:tcPr>
          <w:p w14:paraId="71DC5441" w14:textId="199D4D7F" w:rsidR="00A404D0" w:rsidRPr="0094003C" w:rsidRDefault="00234991" w:rsidP="00A404D0">
            <w:pPr>
              <w:ind w:left="360"/>
              <w:jc w:val="right"/>
              <w:rPr>
                <w:rFonts w:ascii="Calibri" w:hAnsi="Calibri"/>
              </w:rPr>
            </w:pPr>
            <w:r>
              <w:rPr>
                <w:rFonts w:ascii="Calibri" w:hAnsi="Calibri"/>
              </w:rPr>
              <w:t>59</w:t>
            </w:r>
            <w:r w:rsidR="00A404D0">
              <w:rPr>
                <w:rFonts w:ascii="Calibri" w:hAnsi="Calibri"/>
              </w:rPr>
              <w:t>%</w:t>
            </w:r>
          </w:p>
        </w:tc>
        <w:tc>
          <w:tcPr>
            <w:tcW w:w="1552" w:type="dxa"/>
            <w:tcBorders>
              <w:top w:val="nil"/>
              <w:left w:val="nil"/>
              <w:bottom w:val="single" w:sz="4" w:space="0" w:color="auto"/>
              <w:right w:val="single" w:sz="4" w:space="0" w:color="auto"/>
            </w:tcBorders>
            <w:vAlign w:val="bottom"/>
          </w:tcPr>
          <w:p w14:paraId="2C993D36" w14:textId="42107597" w:rsidR="00A404D0" w:rsidRDefault="00A404D0" w:rsidP="00A404D0">
            <w:pPr>
              <w:ind w:left="360"/>
              <w:jc w:val="right"/>
              <w:rPr>
                <w:rFonts w:ascii="Calibri" w:hAnsi="Calibri"/>
              </w:rPr>
            </w:pPr>
            <w:r>
              <w:rPr>
                <w:rFonts w:ascii="Calibri" w:hAnsi="Calibri"/>
              </w:rPr>
              <w:t>209%</w:t>
            </w:r>
          </w:p>
        </w:tc>
      </w:tr>
      <w:tr w:rsidR="00A404D0" w:rsidRPr="00360740" w14:paraId="582FEE34" w14:textId="77777777" w:rsidTr="00A404D0">
        <w:trPr>
          <w:trHeight w:val="300"/>
        </w:trPr>
        <w:tc>
          <w:tcPr>
            <w:tcW w:w="1552" w:type="dxa"/>
            <w:tcBorders>
              <w:right w:val="single" w:sz="4" w:space="0" w:color="auto"/>
            </w:tcBorders>
            <w:shd w:val="clear" w:color="auto" w:fill="auto"/>
            <w:noWrap/>
            <w:vAlign w:val="bottom"/>
          </w:tcPr>
          <w:p w14:paraId="65006F0A" w14:textId="77777777" w:rsidR="00A404D0" w:rsidRDefault="00A404D0" w:rsidP="00A404D0">
            <w:pPr>
              <w:ind w:left="360"/>
              <w:rPr>
                <w:rFonts w:ascii="Calibri" w:hAnsi="Calibri"/>
              </w:rPr>
            </w:pPr>
          </w:p>
        </w:tc>
        <w:tc>
          <w:tcPr>
            <w:tcW w:w="2702" w:type="dxa"/>
            <w:gridSpan w:val="2"/>
            <w:tcBorders>
              <w:top w:val="single" w:sz="4" w:space="0" w:color="auto"/>
              <w:left w:val="nil"/>
              <w:bottom w:val="single" w:sz="4" w:space="0" w:color="auto"/>
              <w:right w:val="single" w:sz="4" w:space="0" w:color="auto"/>
            </w:tcBorders>
            <w:shd w:val="clear" w:color="auto" w:fill="auto"/>
            <w:noWrap/>
            <w:vAlign w:val="bottom"/>
          </w:tcPr>
          <w:p w14:paraId="5CB0C8A5" w14:textId="77777777" w:rsidR="00A404D0" w:rsidRPr="00124778" w:rsidRDefault="00A404D0" w:rsidP="00A404D0">
            <w:pPr>
              <w:ind w:left="360"/>
              <w:jc w:val="right"/>
              <w:rPr>
                <w:rFonts w:ascii="Calibri" w:hAnsi="Calibri"/>
                <w:b/>
              </w:rPr>
            </w:pPr>
            <w:r w:rsidRPr="00124778">
              <w:rPr>
                <w:rFonts w:ascii="Calibri" w:hAnsi="Calibri"/>
                <w:b/>
              </w:rPr>
              <w:t>BENEFICE TOTAL</w:t>
            </w:r>
          </w:p>
        </w:tc>
        <w:tc>
          <w:tcPr>
            <w:tcW w:w="2976" w:type="dxa"/>
            <w:gridSpan w:val="2"/>
            <w:tcBorders>
              <w:top w:val="single" w:sz="4" w:space="0" w:color="auto"/>
              <w:left w:val="nil"/>
              <w:bottom w:val="single" w:sz="4" w:space="0" w:color="auto"/>
              <w:right w:val="single" w:sz="4" w:space="0" w:color="auto"/>
            </w:tcBorders>
            <w:shd w:val="clear" w:color="auto" w:fill="auto"/>
            <w:noWrap/>
            <w:vAlign w:val="bottom"/>
          </w:tcPr>
          <w:p w14:paraId="050E3F02" w14:textId="6CDDB96D" w:rsidR="00A404D0" w:rsidRPr="00124778" w:rsidRDefault="00A404D0" w:rsidP="00234991">
            <w:pPr>
              <w:ind w:left="360"/>
              <w:jc w:val="center"/>
              <w:rPr>
                <w:rFonts w:ascii="Calibri" w:hAnsi="Calibri"/>
                <w:b/>
              </w:rPr>
            </w:pPr>
            <w:r w:rsidRPr="00124778">
              <w:rPr>
                <w:rFonts w:ascii="Calibri" w:hAnsi="Calibri"/>
                <w:b/>
              </w:rPr>
              <w:t>£</w:t>
            </w:r>
            <w:r w:rsidR="00234991">
              <w:rPr>
                <w:rFonts w:ascii="Calibri" w:hAnsi="Calibri"/>
                <w:b/>
              </w:rPr>
              <w:t>59,987.36</w:t>
            </w:r>
          </w:p>
        </w:tc>
        <w:tc>
          <w:tcPr>
            <w:tcW w:w="2970" w:type="dxa"/>
            <w:gridSpan w:val="2"/>
            <w:tcBorders>
              <w:top w:val="single" w:sz="4" w:space="0" w:color="auto"/>
              <w:left w:val="nil"/>
              <w:bottom w:val="single" w:sz="4" w:space="0" w:color="auto"/>
              <w:right w:val="single" w:sz="4" w:space="0" w:color="auto"/>
            </w:tcBorders>
            <w:shd w:val="clear" w:color="auto" w:fill="auto"/>
            <w:noWrap/>
            <w:vAlign w:val="bottom"/>
          </w:tcPr>
          <w:p w14:paraId="0E93D3C5" w14:textId="6EB3B72B" w:rsidR="00A404D0" w:rsidRPr="00124778" w:rsidRDefault="00234991" w:rsidP="00A404D0">
            <w:pPr>
              <w:ind w:left="360"/>
              <w:jc w:val="center"/>
              <w:rPr>
                <w:rFonts w:ascii="Calibri" w:hAnsi="Calibri"/>
                <w:b/>
              </w:rPr>
            </w:pPr>
            <w:r>
              <w:rPr>
                <w:rFonts w:ascii="Calibri" w:hAnsi="Calibri"/>
                <w:b/>
              </w:rPr>
              <w:t>86</w:t>
            </w:r>
            <w:r w:rsidR="00A404D0" w:rsidRPr="00124778">
              <w:rPr>
                <w:rFonts w:ascii="Calibri" w:hAnsi="Calibri"/>
                <w:b/>
              </w:rPr>
              <w:t>%</w:t>
            </w:r>
          </w:p>
        </w:tc>
      </w:tr>
    </w:tbl>
    <w:p w14:paraId="3FD126ED" w14:textId="77777777" w:rsidR="00A404D0" w:rsidRDefault="00A404D0" w:rsidP="009038B6">
      <w:pPr>
        <w:rPr>
          <w:rFonts w:ascii="Arial" w:hAnsi="Arial"/>
        </w:rPr>
      </w:pPr>
    </w:p>
    <w:p w14:paraId="55CF22B8" w14:textId="5256628B" w:rsidR="00A404D0" w:rsidRDefault="002749AB" w:rsidP="009038B6">
      <w:pPr>
        <w:rPr>
          <w:rFonts w:ascii="Arial" w:hAnsi="Arial"/>
        </w:rPr>
      </w:pPr>
      <w:r>
        <w:rPr>
          <w:rFonts w:ascii="Arial" w:hAnsi="Arial"/>
        </w:rPr>
        <w:lastRenderedPageBreak/>
        <w:t>Once Whitfield’s cheque</w:t>
      </w:r>
      <w:r w:rsidR="00D5382B">
        <w:rPr>
          <w:rFonts w:ascii="Arial" w:hAnsi="Arial"/>
        </w:rPr>
        <w:t xml:space="preserve"> (s</w:t>
      </w:r>
      <w:r w:rsidR="008D2894">
        <w:rPr>
          <w:rFonts w:ascii="Arial" w:hAnsi="Arial"/>
        </w:rPr>
        <w:t>ee above)</w:t>
      </w:r>
      <w:r>
        <w:rPr>
          <w:rFonts w:ascii="Arial" w:hAnsi="Arial"/>
        </w:rPr>
        <w:t xml:space="preserve"> has been processed they may be able to pay a further £800. AP ST &amp; CB will discuss whether the Benefice should allocate this money for them in advance. It would take them to £4060 75% and the Total to </w:t>
      </w:r>
      <w:r w:rsidRPr="00D5382B">
        <w:rPr>
          <w:rFonts w:ascii="Arial" w:hAnsi="Arial"/>
          <w:b/>
        </w:rPr>
        <w:t>£60,787.36 87%.</w:t>
      </w:r>
      <w:r>
        <w:rPr>
          <w:rFonts w:ascii="Arial" w:hAnsi="Arial"/>
        </w:rPr>
        <w:t xml:space="preserve"> </w:t>
      </w:r>
    </w:p>
    <w:p w14:paraId="2B56331E" w14:textId="77777777" w:rsidR="008D2894" w:rsidRDefault="008D2894" w:rsidP="009038B6">
      <w:pPr>
        <w:rPr>
          <w:rFonts w:ascii="Arial" w:hAnsi="Arial"/>
        </w:rPr>
      </w:pPr>
    </w:p>
    <w:p w14:paraId="24F3C0F2" w14:textId="0EFE7EF5" w:rsidR="008D2894" w:rsidRDefault="008D2894" w:rsidP="009038B6">
      <w:pPr>
        <w:rPr>
          <w:rFonts w:ascii="Arial" w:hAnsi="Arial"/>
        </w:rPr>
      </w:pPr>
      <w:r>
        <w:rPr>
          <w:rFonts w:ascii="Arial" w:hAnsi="Arial"/>
        </w:rPr>
        <w:t>AP has asked Lois Weedon if they would consider contributing some of their general reserve to top up this year.</w:t>
      </w:r>
    </w:p>
    <w:p w14:paraId="7974C034" w14:textId="77777777" w:rsidR="008D2894" w:rsidRPr="00407D9D" w:rsidRDefault="008D2894" w:rsidP="009038B6">
      <w:pPr>
        <w:rPr>
          <w:rFonts w:ascii="Arial" w:hAnsi="Arial"/>
          <w:b/>
        </w:rPr>
      </w:pPr>
    </w:p>
    <w:p w14:paraId="54593E6A" w14:textId="1A945C1D" w:rsidR="008D2894" w:rsidRPr="00407D9D" w:rsidRDefault="008D2894" w:rsidP="009038B6">
      <w:pPr>
        <w:rPr>
          <w:rFonts w:ascii="Arial" w:hAnsi="Arial"/>
          <w:b/>
        </w:rPr>
      </w:pPr>
      <w:r w:rsidRPr="00407D9D">
        <w:rPr>
          <w:rFonts w:ascii="Arial" w:hAnsi="Arial"/>
          <w:b/>
        </w:rPr>
        <w:t>BUDGETS</w:t>
      </w:r>
    </w:p>
    <w:p w14:paraId="7EBC584C" w14:textId="77777777" w:rsidR="008D2894" w:rsidRDefault="008D2894" w:rsidP="009038B6">
      <w:pPr>
        <w:rPr>
          <w:rFonts w:ascii="Arial" w:hAnsi="Arial"/>
        </w:rPr>
      </w:pPr>
    </w:p>
    <w:p w14:paraId="489E8BCB" w14:textId="48FEE810" w:rsidR="008D2894" w:rsidRDefault="008D2894" w:rsidP="009038B6">
      <w:pPr>
        <w:rPr>
          <w:rFonts w:ascii="Arial" w:hAnsi="Arial"/>
        </w:rPr>
      </w:pPr>
      <w:r>
        <w:rPr>
          <w:rFonts w:ascii="Arial" w:hAnsi="Arial"/>
        </w:rPr>
        <w:t xml:space="preserve">We looked at the budgets for all the parishes.  These have not yet been agreed by the Church Councils </w:t>
      </w:r>
      <w:r w:rsidR="00D17912">
        <w:rPr>
          <w:rFonts w:ascii="Arial" w:hAnsi="Arial"/>
        </w:rPr>
        <w:t xml:space="preserve">but give us an idea of challenges ahead.  </w:t>
      </w:r>
    </w:p>
    <w:p w14:paraId="689576E4" w14:textId="77777777" w:rsidR="00D17912" w:rsidRDefault="00D17912" w:rsidP="009038B6">
      <w:pPr>
        <w:rPr>
          <w:rFonts w:ascii="Arial" w:hAnsi="Arial"/>
        </w:rPr>
      </w:pPr>
    </w:p>
    <w:p w14:paraId="7619827A" w14:textId="69F9E5B0" w:rsidR="00D17912" w:rsidRDefault="00D17912" w:rsidP="009038B6">
      <w:pPr>
        <w:rPr>
          <w:rFonts w:ascii="Arial" w:hAnsi="Arial"/>
        </w:rPr>
      </w:pPr>
      <w:r>
        <w:rPr>
          <w:rFonts w:ascii="Arial" w:hAnsi="Arial"/>
        </w:rPr>
        <w:t>Helmdon are challenged by needing to find an extra £800 to cover the cost of insuring Radstone Church.</w:t>
      </w:r>
      <w:r w:rsidR="001A2711">
        <w:rPr>
          <w:rFonts w:ascii="Arial" w:hAnsi="Arial"/>
        </w:rPr>
        <w:t xml:space="preserve"> Budget deficit £5600</w:t>
      </w:r>
    </w:p>
    <w:p w14:paraId="4BAF8C43" w14:textId="77777777" w:rsidR="00D17912" w:rsidRDefault="00D17912" w:rsidP="009038B6">
      <w:pPr>
        <w:rPr>
          <w:rFonts w:ascii="Arial" w:hAnsi="Arial"/>
        </w:rPr>
      </w:pPr>
    </w:p>
    <w:p w14:paraId="55BD9BBE" w14:textId="05C92B34" w:rsidR="00D17912" w:rsidRDefault="00D17912" w:rsidP="009038B6">
      <w:pPr>
        <w:rPr>
          <w:rFonts w:ascii="Arial" w:hAnsi="Arial"/>
        </w:rPr>
      </w:pPr>
      <w:r>
        <w:rPr>
          <w:rFonts w:ascii="Arial" w:hAnsi="Arial"/>
        </w:rPr>
        <w:t xml:space="preserve">Lois hope for grants of £5000 (already applied for) plus a grant to refund VAT of £2500 to help cover the repairs to the chancel. An increase in collections and regular giving would help to get a lot closer to meeting the Parish Share.  </w:t>
      </w:r>
      <w:r w:rsidR="00D5382B">
        <w:rPr>
          <w:rFonts w:ascii="Arial" w:hAnsi="Arial"/>
        </w:rPr>
        <w:t>Budget surplus £478</w:t>
      </w:r>
    </w:p>
    <w:p w14:paraId="47AB161A" w14:textId="77777777" w:rsidR="00D17912" w:rsidRDefault="00D17912" w:rsidP="009038B6">
      <w:pPr>
        <w:rPr>
          <w:rFonts w:ascii="Arial" w:hAnsi="Arial"/>
        </w:rPr>
      </w:pPr>
    </w:p>
    <w:p w14:paraId="6AE32DAD" w14:textId="32ED859A" w:rsidR="001A2711" w:rsidRDefault="00D17912" w:rsidP="009038B6">
      <w:pPr>
        <w:rPr>
          <w:rFonts w:ascii="Arial" w:hAnsi="Arial"/>
        </w:rPr>
      </w:pPr>
      <w:r>
        <w:rPr>
          <w:rFonts w:ascii="Arial" w:hAnsi="Arial"/>
        </w:rPr>
        <w:t xml:space="preserve">Syresham </w:t>
      </w:r>
      <w:r w:rsidR="001A2711">
        <w:rPr>
          <w:rFonts w:ascii="Arial" w:hAnsi="Arial"/>
        </w:rPr>
        <w:t>plan to cover general maintenance with carry over from this year.  Non-steeple repair works are also in hand.  They have £8500 in hand towards the steeple and £1500 already paid.  There budget is similar to last year apart from : Loan £45,000 which they hope to pay off with grants – already applied for, £20,000 pledges towards the steeple already made but not yet received and a further £5000 fundraising from the community. They plan to increase their Parish Share contribution but are unlikely to reach the full amount. Budget deficit £3300</w:t>
      </w:r>
    </w:p>
    <w:p w14:paraId="2DDF2101" w14:textId="77777777" w:rsidR="001A2711" w:rsidRDefault="001A2711" w:rsidP="009038B6">
      <w:pPr>
        <w:rPr>
          <w:rFonts w:ascii="Arial" w:hAnsi="Arial"/>
        </w:rPr>
      </w:pPr>
    </w:p>
    <w:p w14:paraId="08253440" w14:textId="44DBFAD1" w:rsidR="001A2711" w:rsidRDefault="00D5382B" w:rsidP="009038B6">
      <w:pPr>
        <w:rPr>
          <w:rFonts w:ascii="Arial" w:hAnsi="Arial"/>
        </w:rPr>
      </w:pPr>
      <w:r>
        <w:rPr>
          <w:rFonts w:ascii="Arial" w:hAnsi="Arial"/>
        </w:rPr>
        <w:t>Wappenham have some fabric expenditure on the south roof and pointing to budget for along with further flagpole and masonry repairs.  The Churchyard has been allocate £1600 supplied by the CC, it is hoped that this is an over estimate. Budget Deficit £4700</w:t>
      </w:r>
    </w:p>
    <w:p w14:paraId="4631F2D3" w14:textId="77777777" w:rsidR="00D5382B" w:rsidRDefault="00D5382B" w:rsidP="009038B6">
      <w:pPr>
        <w:rPr>
          <w:rFonts w:ascii="Arial" w:hAnsi="Arial"/>
        </w:rPr>
      </w:pPr>
    </w:p>
    <w:p w14:paraId="053D6CC3" w14:textId="6A1A833A" w:rsidR="00D5382B" w:rsidRDefault="00D5382B" w:rsidP="009038B6">
      <w:pPr>
        <w:rPr>
          <w:rFonts w:ascii="Arial" w:hAnsi="Arial"/>
        </w:rPr>
      </w:pPr>
      <w:r>
        <w:rPr>
          <w:rFonts w:ascii="Arial" w:hAnsi="Arial"/>
        </w:rPr>
        <w:t>Whitfield have on-going problems with congregation size and finding a venue for their fete. We didn’t discuss their budget as BF, ST and CB haven’t had a chance to consider it.</w:t>
      </w:r>
    </w:p>
    <w:p w14:paraId="486D2F7E" w14:textId="77777777" w:rsidR="00D5382B" w:rsidRDefault="00D5382B" w:rsidP="009038B6">
      <w:pPr>
        <w:rPr>
          <w:rFonts w:ascii="Arial" w:hAnsi="Arial"/>
        </w:rPr>
      </w:pPr>
    </w:p>
    <w:p w14:paraId="1FC3BF7B" w14:textId="2DB8AAC6" w:rsidR="00D5382B" w:rsidRDefault="00D5382B" w:rsidP="009038B6">
      <w:pPr>
        <w:rPr>
          <w:rFonts w:ascii="Arial" w:hAnsi="Arial"/>
        </w:rPr>
      </w:pPr>
      <w:r>
        <w:rPr>
          <w:rFonts w:ascii="Arial" w:hAnsi="Arial"/>
        </w:rPr>
        <w:t>The Benefice budget was agreed, it contains an estimated surplus of £900. We agreed that Sarah Rudkin’s salary would be increased to £11.50 per hour in April. Costs are necessarily uncertain due to the new regime in place.</w:t>
      </w:r>
    </w:p>
    <w:p w14:paraId="7C8D5BB4" w14:textId="77777777" w:rsidR="00D17912" w:rsidRDefault="00D17912" w:rsidP="009038B6">
      <w:pPr>
        <w:rPr>
          <w:rFonts w:ascii="Arial" w:hAnsi="Arial"/>
        </w:rPr>
      </w:pPr>
    </w:p>
    <w:p w14:paraId="7C721D28" w14:textId="77777777" w:rsidR="00D5382B" w:rsidRPr="00D5382B" w:rsidRDefault="00D5382B" w:rsidP="00D5382B">
      <w:pPr>
        <w:rPr>
          <w:rFonts w:ascii="Arial" w:hAnsi="Arial"/>
          <w:b/>
        </w:rPr>
      </w:pPr>
      <w:r w:rsidRPr="00D5382B">
        <w:rPr>
          <w:rFonts w:ascii="Arial" w:hAnsi="Arial"/>
          <w:b/>
        </w:rPr>
        <w:t>BENEFICE EXTRA SPENDING</w:t>
      </w:r>
      <w:r w:rsidRPr="00D5382B">
        <w:rPr>
          <w:rFonts w:ascii="Arial" w:hAnsi="Arial"/>
          <w:b/>
        </w:rPr>
        <w:br/>
      </w:r>
    </w:p>
    <w:p w14:paraId="0782838E" w14:textId="570F4AA8" w:rsidR="00D5382B" w:rsidRDefault="00D5382B" w:rsidP="00D5382B">
      <w:pPr>
        <w:rPr>
          <w:rFonts w:ascii="Arial" w:hAnsi="Arial"/>
        </w:rPr>
      </w:pPr>
      <w:r>
        <w:rPr>
          <w:rFonts w:ascii="Arial" w:hAnsi="Arial"/>
        </w:rPr>
        <w:t>AP asked for agreement that we use some of the carry over held in the account for honorariums of £100 for Paul Stothard, Sarah Rudkin and Bill Elkington as a token of thanks for their hard work over the interregnum.  This was agreed.</w:t>
      </w:r>
    </w:p>
    <w:p w14:paraId="16292D4D" w14:textId="3BD38BF9" w:rsidR="00D5382B" w:rsidRDefault="00D5382B" w:rsidP="009038B6">
      <w:pPr>
        <w:rPr>
          <w:rFonts w:ascii="Arial" w:hAnsi="Arial"/>
        </w:rPr>
      </w:pPr>
    </w:p>
    <w:p w14:paraId="27C9654E" w14:textId="41270D94" w:rsidR="00407D9D" w:rsidRDefault="00407D9D" w:rsidP="009038B6">
      <w:pPr>
        <w:rPr>
          <w:rFonts w:ascii="Arial" w:hAnsi="Arial"/>
        </w:rPr>
      </w:pPr>
      <w:r>
        <w:rPr>
          <w:rFonts w:ascii="Arial" w:hAnsi="Arial"/>
        </w:rPr>
        <w:t>We also agreed to top up our giving to charity to reach the 10% of Fundraising requested by the Fundraising Committee.</w:t>
      </w:r>
    </w:p>
    <w:p w14:paraId="734366F7" w14:textId="77777777" w:rsidR="00D17912" w:rsidRPr="00571BCC" w:rsidRDefault="00D17912" w:rsidP="009038B6">
      <w:pPr>
        <w:rPr>
          <w:rFonts w:ascii="Arial" w:hAnsi="Arial"/>
        </w:rPr>
      </w:pPr>
    </w:p>
    <w:p w14:paraId="1DDBA892" w14:textId="5B06F683" w:rsidR="00520F8D" w:rsidRPr="00407D9D" w:rsidRDefault="007D7687" w:rsidP="00A404D0">
      <w:pPr>
        <w:rPr>
          <w:rFonts w:ascii="Arial" w:hAnsi="Arial"/>
          <w:b/>
          <w:smallCaps/>
        </w:rPr>
      </w:pPr>
      <w:r w:rsidRPr="00571BCC">
        <w:rPr>
          <w:rFonts w:ascii="Arial" w:hAnsi="Arial"/>
          <w:b/>
          <w:smallCaps/>
        </w:rPr>
        <w:t xml:space="preserve">AOB </w:t>
      </w:r>
      <w:r w:rsidR="00407D9D">
        <w:rPr>
          <w:rFonts w:ascii="Arial" w:hAnsi="Arial"/>
          <w:b/>
          <w:smallCaps/>
        </w:rPr>
        <w:t xml:space="preserve">   </w:t>
      </w:r>
      <w:bookmarkStart w:id="0" w:name="_GoBack"/>
      <w:bookmarkEnd w:id="0"/>
      <w:r w:rsidR="00A404D0">
        <w:rPr>
          <w:rFonts w:ascii="Arial" w:hAnsi="Arial"/>
        </w:rPr>
        <w:t>None</w:t>
      </w:r>
    </w:p>
    <w:p w14:paraId="733C22D4" w14:textId="77777777" w:rsidR="00A404D0" w:rsidRDefault="00A404D0" w:rsidP="00A404D0">
      <w:pPr>
        <w:rPr>
          <w:rFonts w:ascii="Arial" w:hAnsi="Arial"/>
        </w:rPr>
      </w:pPr>
    </w:p>
    <w:p w14:paraId="07EABB64" w14:textId="3E4B8BBA" w:rsidR="00F93A57" w:rsidRPr="00571BCC" w:rsidRDefault="00F93A57" w:rsidP="00F93A57">
      <w:pPr>
        <w:rPr>
          <w:rFonts w:ascii="Arial" w:hAnsi="Arial"/>
        </w:rPr>
      </w:pPr>
      <w:r w:rsidRPr="00F93A57">
        <w:rPr>
          <w:rFonts w:ascii="Arial" w:hAnsi="Arial"/>
          <w:b/>
        </w:rPr>
        <w:t>NEXT MEETING</w:t>
      </w:r>
      <w:r>
        <w:rPr>
          <w:rFonts w:ascii="Arial" w:hAnsi="Arial"/>
        </w:rPr>
        <w:t xml:space="preserve"> </w:t>
      </w:r>
      <w:r w:rsidR="001607E7">
        <w:rPr>
          <w:rFonts w:ascii="Arial" w:hAnsi="Arial"/>
        </w:rPr>
        <w:t xml:space="preserve">: </w:t>
      </w:r>
      <w:r w:rsidR="00A404D0">
        <w:rPr>
          <w:rFonts w:ascii="Arial" w:hAnsi="Arial"/>
        </w:rPr>
        <w:t>January(tbc)</w:t>
      </w:r>
      <w:r>
        <w:rPr>
          <w:rFonts w:ascii="Arial" w:hAnsi="Arial"/>
        </w:rPr>
        <w:t xml:space="preserve"> 11am @ Vine Cottage.</w:t>
      </w:r>
    </w:p>
    <w:sectPr w:rsidR="00F93A57" w:rsidRPr="00571BCC" w:rsidSect="002B60BC">
      <w:headerReference w:type="even" r:id="rId10"/>
      <w:headerReference w:type="default" r:id="rId11"/>
      <w:footerReference w:type="even" r:id="rId12"/>
      <w:footerReference w:type="default" r:id="rId13"/>
      <w:headerReference w:type="first" r:id="rId14"/>
      <w:footerReference w:type="first" r:id="rId15"/>
      <w:pgSz w:w="11904" w:h="16836"/>
      <w:pgMar w:top="709" w:right="1272" w:bottom="426" w:left="1418"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153F58" w14:textId="77777777" w:rsidR="001A2711" w:rsidRDefault="001A2711" w:rsidP="000F7C64">
      <w:r>
        <w:separator/>
      </w:r>
    </w:p>
  </w:endnote>
  <w:endnote w:type="continuationSeparator" w:id="0">
    <w:p w14:paraId="3F3A8023" w14:textId="77777777" w:rsidR="001A2711" w:rsidRDefault="001A2711" w:rsidP="000F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1D9AC" w14:textId="77777777" w:rsidR="001A2711" w:rsidRDefault="001A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A050A" w14:textId="77777777" w:rsidR="001A2711" w:rsidRDefault="001A271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C16E4" w14:textId="77777777" w:rsidR="001A2711" w:rsidRDefault="001A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B0E21" w14:textId="77777777" w:rsidR="001A2711" w:rsidRDefault="001A2711" w:rsidP="000F7C64">
      <w:r>
        <w:separator/>
      </w:r>
    </w:p>
  </w:footnote>
  <w:footnote w:type="continuationSeparator" w:id="0">
    <w:p w14:paraId="527639A8" w14:textId="77777777" w:rsidR="001A2711" w:rsidRDefault="001A2711" w:rsidP="000F7C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5C44D" w14:textId="2E376438" w:rsidR="001A2711" w:rsidRDefault="001A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1689" w14:textId="252597A5" w:rsidR="001A2711" w:rsidRDefault="001A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EB626" w14:textId="1E0C7291" w:rsidR="001A2711" w:rsidRDefault="001A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35219"/>
    <w:multiLevelType w:val="hybridMultilevel"/>
    <w:tmpl w:val="C4A0D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352C8D"/>
    <w:multiLevelType w:val="hybridMultilevel"/>
    <w:tmpl w:val="BC5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0373FA"/>
    <w:multiLevelType w:val="hybridMultilevel"/>
    <w:tmpl w:val="9CA86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664E0B"/>
    <w:multiLevelType w:val="hybridMultilevel"/>
    <w:tmpl w:val="A7A6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AC211B"/>
    <w:multiLevelType w:val="hybridMultilevel"/>
    <w:tmpl w:val="E758B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6675AC"/>
    <w:multiLevelType w:val="hybridMultilevel"/>
    <w:tmpl w:val="6EE01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762791"/>
    <w:multiLevelType w:val="hybridMultilevel"/>
    <w:tmpl w:val="DCB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5C2E3C"/>
    <w:multiLevelType w:val="hybridMultilevel"/>
    <w:tmpl w:val="00A64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3"/>
  </w:num>
  <w:num w:numId="5">
    <w:abstractNumId w:val="6"/>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embedSystemFonts/>
  <w:defaultTabStop w:val="720"/>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D5"/>
    <w:rsid w:val="000118E0"/>
    <w:rsid w:val="00045AF7"/>
    <w:rsid w:val="000560F6"/>
    <w:rsid w:val="00090F29"/>
    <w:rsid w:val="00095326"/>
    <w:rsid w:val="000D3B86"/>
    <w:rsid w:val="000F7C64"/>
    <w:rsid w:val="00100DBD"/>
    <w:rsid w:val="00134353"/>
    <w:rsid w:val="001607E7"/>
    <w:rsid w:val="00167210"/>
    <w:rsid w:val="00167C3F"/>
    <w:rsid w:val="00187F10"/>
    <w:rsid w:val="001A2711"/>
    <w:rsid w:val="001C2B09"/>
    <w:rsid w:val="001C5479"/>
    <w:rsid w:val="001D1059"/>
    <w:rsid w:val="001F2325"/>
    <w:rsid w:val="00207BF7"/>
    <w:rsid w:val="00231E39"/>
    <w:rsid w:val="00234991"/>
    <w:rsid w:val="002622E6"/>
    <w:rsid w:val="002749AB"/>
    <w:rsid w:val="0028236F"/>
    <w:rsid w:val="002A11CD"/>
    <w:rsid w:val="002B60BC"/>
    <w:rsid w:val="002C2292"/>
    <w:rsid w:val="002C2BE7"/>
    <w:rsid w:val="002C7F79"/>
    <w:rsid w:val="002F34C6"/>
    <w:rsid w:val="00306250"/>
    <w:rsid w:val="0030638E"/>
    <w:rsid w:val="00323BA9"/>
    <w:rsid w:val="00334D2F"/>
    <w:rsid w:val="00386489"/>
    <w:rsid w:val="00386530"/>
    <w:rsid w:val="003D5BC3"/>
    <w:rsid w:val="004027CF"/>
    <w:rsid w:val="00407D9D"/>
    <w:rsid w:val="0041143A"/>
    <w:rsid w:val="004235B0"/>
    <w:rsid w:val="00427E4F"/>
    <w:rsid w:val="00456D95"/>
    <w:rsid w:val="00491CEB"/>
    <w:rsid w:val="00520EE2"/>
    <w:rsid w:val="00520F8D"/>
    <w:rsid w:val="00520FF0"/>
    <w:rsid w:val="00524396"/>
    <w:rsid w:val="005321AF"/>
    <w:rsid w:val="00533F85"/>
    <w:rsid w:val="00567D06"/>
    <w:rsid w:val="00571BCC"/>
    <w:rsid w:val="00583129"/>
    <w:rsid w:val="005B4C44"/>
    <w:rsid w:val="005C6887"/>
    <w:rsid w:val="005C76D2"/>
    <w:rsid w:val="005E18AA"/>
    <w:rsid w:val="005E6CFF"/>
    <w:rsid w:val="005F3859"/>
    <w:rsid w:val="006031DF"/>
    <w:rsid w:val="006622CD"/>
    <w:rsid w:val="00680F34"/>
    <w:rsid w:val="007347F5"/>
    <w:rsid w:val="007352E3"/>
    <w:rsid w:val="007419D6"/>
    <w:rsid w:val="00766E04"/>
    <w:rsid w:val="007B131B"/>
    <w:rsid w:val="007D7687"/>
    <w:rsid w:val="00830B33"/>
    <w:rsid w:val="008808D5"/>
    <w:rsid w:val="00881495"/>
    <w:rsid w:val="00891D4E"/>
    <w:rsid w:val="00896DE9"/>
    <w:rsid w:val="008D2894"/>
    <w:rsid w:val="008D3E75"/>
    <w:rsid w:val="008D3E97"/>
    <w:rsid w:val="008D79CA"/>
    <w:rsid w:val="008E5C77"/>
    <w:rsid w:val="008E604E"/>
    <w:rsid w:val="00900EF9"/>
    <w:rsid w:val="009038B6"/>
    <w:rsid w:val="00920144"/>
    <w:rsid w:val="009343BB"/>
    <w:rsid w:val="00952CE3"/>
    <w:rsid w:val="00981E50"/>
    <w:rsid w:val="00997EB4"/>
    <w:rsid w:val="009B46FD"/>
    <w:rsid w:val="009B5D66"/>
    <w:rsid w:val="009E28B3"/>
    <w:rsid w:val="009E5412"/>
    <w:rsid w:val="009E7AB0"/>
    <w:rsid w:val="00A404D0"/>
    <w:rsid w:val="00A406BE"/>
    <w:rsid w:val="00A56D5D"/>
    <w:rsid w:val="00A56F07"/>
    <w:rsid w:val="00A657C0"/>
    <w:rsid w:val="00A74E31"/>
    <w:rsid w:val="00A96830"/>
    <w:rsid w:val="00AA429D"/>
    <w:rsid w:val="00AC07F1"/>
    <w:rsid w:val="00AC35B0"/>
    <w:rsid w:val="00B065A1"/>
    <w:rsid w:val="00B324BD"/>
    <w:rsid w:val="00BF4B47"/>
    <w:rsid w:val="00C51278"/>
    <w:rsid w:val="00C720A4"/>
    <w:rsid w:val="00C92863"/>
    <w:rsid w:val="00CA76E7"/>
    <w:rsid w:val="00D119F6"/>
    <w:rsid w:val="00D17912"/>
    <w:rsid w:val="00D33363"/>
    <w:rsid w:val="00D42A56"/>
    <w:rsid w:val="00D52D61"/>
    <w:rsid w:val="00D5382B"/>
    <w:rsid w:val="00D556BE"/>
    <w:rsid w:val="00DD2925"/>
    <w:rsid w:val="00DE5F63"/>
    <w:rsid w:val="00DF0B59"/>
    <w:rsid w:val="00E03328"/>
    <w:rsid w:val="00E268C5"/>
    <w:rsid w:val="00E45CB6"/>
    <w:rsid w:val="00E510F8"/>
    <w:rsid w:val="00E61693"/>
    <w:rsid w:val="00ED26AB"/>
    <w:rsid w:val="00EE077B"/>
    <w:rsid w:val="00EE4FE5"/>
    <w:rsid w:val="00EF03D9"/>
    <w:rsid w:val="00F461A2"/>
    <w:rsid w:val="00F65DB9"/>
    <w:rsid w:val="00F93A57"/>
    <w:rsid w:val="00FA3C08"/>
    <w:rsid w:val="00FC5F42"/>
    <w:rsid w:val="00FD449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61B9F9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4460">
      <w:bodyDiv w:val="1"/>
      <w:marLeft w:val="0"/>
      <w:marRight w:val="0"/>
      <w:marTop w:val="0"/>
      <w:marBottom w:val="0"/>
      <w:divBdr>
        <w:top w:val="none" w:sz="0" w:space="0" w:color="auto"/>
        <w:left w:val="none" w:sz="0" w:space="0" w:color="auto"/>
        <w:bottom w:val="none" w:sz="0" w:space="0" w:color="auto"/>
        <w:right w:val="none" w:sz="0" w:space="0" w:color="auto"/>
      </w:divBdr>
    </w:div>
    <w:div w:id="126709320">
      <w:bodyDiv w:val="1"/>
      <w:marLeft w:val="0"/>
      <w:marRight w:val="0"/>
      <w:marTop w:val="0"/>
      <w:marBottom w:val="0"/>
      <w:divBdr>
        <w:top w:val="none" w:sz="0" w:space="0" w:color="auto"/>
        <w:left w:val="none" w:sz="0" w:space="0" w:color="auto"/>
        <w:bottom w:val="none" w:sz="0" w:space="0" w:color="auto"/>
        <w:right w:val="none" w:sz="0" w:space="0" w:color="auto"/>
      </w:divBdr>
    </w:div>
    <w:div w:id="620844409">
      <w:bodyDiv w:val="1"/>
      <w:marLeft w:val="0"/>
      <w:marRight w:val="0"/>
      <w:marTop w:val="0"/>
      <w:marBottom w:val="0"/>
      <w:divBdr>
        <w:top w:val="none" w:sz="0" w:space="0" w:color="auto"/>
        <w:left w:val="none" w:sz="0" w:space="0" w:color="auto"/>
        <w:bottom w:val="none" w:sz="0" w:space="0" w:color="auto"/>
        <w:right w:val="none" w:sz="0" w:space="0" w:color="auto"/>
      </w:divBdr>
    </w:div>
    <w:div w:id="1043991158">
      <w:bodyDiv w:val="1"/>
      <w:marLeft w:val="0"/>
      <w:marRight w:val="0"/>
      <w:marTop w:val="0"/>
      <w:marBottom w:val="0"/>
      <w:divBdr>
        <w:top w:val="none" w:sz="0" w:space="0" w:color="auto"/>
        <w:left w:val="none" w:sz="0" w:space="0" w:color="auto"/>
        <w:bottom w:val="none" w:sz="0" w:space="0" w:color="auto"/>
        <w:right w:val="none" w:sz="0" w:space="0" w:color="auto"/>
      </w:divBdr>
    </w:div>
    <w:div w:id="1330712282">
      <w:bodyDiv w:val="1"/>
      <w:marLeft w:val="0"/>
      <w:marRight w:val="0"/>
      <w:marTop w:val="0"/>
      <w:marBottom w:val="0"/>
      <w:divBdr>
        <w:top w:val="none" w:sz="0" w:space="0" w:color="auto"/>
        <w:left w:val="none" w:sz="0" w:space="0" w:color="auto"/>
        <w:bottom w:val="none" w:sz="0" w:space="0" w:color="auto"/>
        <w:right w:val="none" w:sz="0" w:space="0" w:color="auto"/>
      </w:divBdr>
    </w:div>
    <w:div w:id="14461470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A03D3-5D0B-034B-8C49-C7661D02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1439</Words>
  <Characters>8207</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Alice Palmer</vt:lpstr>
    </vt:vector>
  </TitlesOfParts>
  <Manager/>
  <Company>Astwell Benefice</Company>
  <LinksUpToDate>false</LinksUpToDate>
  <CharactersWithSpaces>9627</CharactersWithSpaces>
  <SharedDoc>false</SharedDoc>
  <HyperlinkBase/>
  <HLinks>
    <vt:vector size="6" baseType="variant">
      <vt:variant>
        <vt:i4>393245</vt:i4>
      </vt:variant>
      <vt:variant>
        <vt:i4>-1</vt:i4>
      </vt:variant>
      <vt:variant>
        <vt:i4>1026</vt:i4>
      </vt:variant>
      <vt:variant>
        <vt:i4>1</vt:i4>
      </vt:variant>
      <vt:variant>
        <vt:lpwstr>tobeused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Palmer</dc:title>
  <dc:subject/>
  <dc:creator>Treasurer</dc:creator>
  <cp:keywords/>
  <dc:description/>
  <cp:lastModifiedBy>Rector</cp:lastModifiedBy>
  <cp:revision>4</cp:revision>
  <cp:lastPrinted>2023-12-12T09:57:00Z</cp:lastPrinted>
  <dcterms:created xsi:type="dcterms:W3CDTF">2023-12-12T11:12:00Z</dcterms:created>
  <dcterms:modified xsi:type="dcterms:W3CDTF">2023-12-12T12:24:00Z</dcterms:modified>
  <cp:category/>
</cp:coreProperties>
</file>